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 , se han podido cumplir las actividades planificadas para el cierre dicho de la Fase 1 y poder seguir con la Fase 2 en el transcurso de los plazos establecidos que fueron inscritos.</w:t>
            </w:r>
          </w:p>
          <w:p w:rsidR="00000000" w:rsidDel="00000000" w:rsidP="00000000" w:rsidRDefault="00000000" w:rsidRPr="00000000" w14:paraId="0000000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Los factores que se felicitaron: Fueron la división de roles según las fortalezas técnicas del grupo para poder tener un mayor orden , la comunicación fluida y el distinto uso de ecosistemas que se trabajaran lo cual facilita la integración de librerías para el consumo de APIs.</w:t>
            </w:r>
          </w:p>
          <w:p w:rsidR="00000000" w:rsidDel="00000000" w:rsidP="00000000" w:rsidRDefault="00000000" w:rsidRPr="00000000" w14:paraId="0000000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Factores que dificultaron: fueron la variabilidad en los limites de peticiones de la API y el mayor manejo del tiempo en procesamientos de los modelos de lenguaje (LLM) al clasificar ciertos documentos extensos.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Para mitigar los limites de la API se implementa un esquema de almacenamiento en caché para consultas repetitivas y desarrollamos un modulo secundario de web scraping como respaldo para poder controlar los costos y latencia del LLM diseñando un pre-filtrado por palabra clave y rubro antes de enviar todo tipo de información al modelo IA, asegurando que solo procesen las licitaciones.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Destacaría la capacidad de acotar el Producto minimo Viable (MVP) realista resuelve un problema real para las pymes chilenas, integrando distintas áreas.</w:t>
            </w:r>
          </w:p>
          <w:p w:rsidR="00000000" w:rsidDel="00000000" w:rsidP="00000000" w:rsidRDefault="00000000" w:rsidRPr="00000000" w14:paraId="0000001E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Mejoraría una incrementación a la automatización de prueba unitarias e integración en el codigo y junto documentar de manera mas rigurosa los casos de prueba y métricas de precisión del modelo de IA.</w:t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Nos quedaría una inquietud clara que es la calibración de la evaluación económica formal y la mayor estimación de costos en la arquitectura cloud.</w:t>
            </w:r>
          </w:p>
          <w:p w:rsidR="00000000" w:rsidDel="00000000" w:rsidP="00000000" w:rsidRDefault="00000000" w:rsidRPr="00000000" w14:paraId="00000028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Una pregunta seria ¿Qué criterio o margen de variabilidad nos recomienda considerar para estimar la tasa de descuento y los costos de consumo de tokens del LLM al calcular el punto de equilibrio y payback a 12 meses en un entorno Cloud.</w:t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No se requiere de una redistribución de roles principales, ya que la asignación actual que usamos se demuestra que va funcionando de manera correcta sin inconvenientes y a futuro de las nuevas actividades se asignaría que fuera compartida.</w:t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raaazuydjdcv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Evaluamos el trabajo grupal como Excelente</w:t>
            </w:r>
          </w:p>
          <w:p w:rsidR="00000000" w:rsidDel="00000000" w:rsidP="00000000" w:rsidRDefault="00000000" w:rsidRPr="00000000" w14:paraId="0000003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Aspectos positivos que podemos destacar serian el buen compromiso que hay , la responsabilidad individual de las entregas asignadas, completar habilidades técnicas y tener un buen seguimientos continuo.</w:t>
            </w:r>
          </w:p>
          <w:p w:rsidR="00000000" w:rsidDel="00000000" w:rsidP="00000000" w:rsidRDefault="00000000" w:rsidRPr="00000000" w14:paraId="0000003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Aspectos que se podrían mejorar levemente seria la mejora de gestión del tiempo de la elaboración y entrega de documentación escrita para evitar concentrar las revisiones  finales de formatos que sean justos antes del cierre o envio de las entregas en dichas fechas acordadas.</w:t>
            </w:r>
          </w:p>
          <w:p w:rsidR="00000000" w:rsidDel="00000000" w:rsidP="00000000" w:rsidRDefault="00000000" w:rsidRPr="00000000" w14:paraId="0000004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5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5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hp0ffKzhHJWZhJV2r9bp7BXIeA==">CgMxLjAyDmgucmFhYXp1eWRqZGN2OAByITF5V3pyWGR2eTNpY1NIUWVueG13U3ZEd2YtbkY5U0J2eA==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