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FINEHERO ML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Methodology &amp; Approach</w:t>
      </w:r>
    </w:p>
    <w:p>
      <w:pPr>
        <w:spacing w:after="40" w:before="0"/>
        <w:jc w:val="center"/>
      </w:pPr>
      <w:r>
        <w:rPr>
          <w:i/>
          <w:iCs/>
          <w:color w:val="595959"/>
          <w:sz w:val="24"/>
          <w:szCs w:val="24"/>
        </w:rPr>
        <w:t xml:space="preserve">NYC Parking Ticket Appeal Prediction System</w:t>
      </w:r>
    </w:p>
    <w:p>
      <w:pPr>
        <w:spacing w:after="0" w:before="40"/>
        <w:jc w:val="center"/>
      </w:pPr>
      <w:r>
        <w:rPr>
          <w:color w:val="595959"/>
          <w:sz w:val="22"/>
          <w:szCs w:val="22"/>
        </w:rPr>
        <w:t xml:space="preserve">April 2026</w:t>
      </w:r>
    </w:p>
    <w:p>
      <w:pPr>
        <w:spacing w:after="0" w:before="8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400"/>
      </w:pPr>
    </w:p>
    <w:p>
      <w:pPr>
        <w:pStyle w:val="Heading1"/>
      </w:pPr>
      <w:r>
        <w:rPr>
          <w:b/>
          <w:bCs/>
          <w:color w:val="1F3864"/>
        </w:rPr>
        <w:t xml:space="preserve">1. Executive Summary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FineHero ML is a machine learning system designed to predict the probability that a New York City parking ticket appeal will succeed. By combining historical adjudication outcomes with rich pre-hearing ticket metadata, the system provides an evidence-based win-probability score for each ticket, enabling drivers to make informed decisions about whether to dispute or pay.</w:t>
      </w:r>
    </w:p>
    <w:p>
      <w:pPr>
        <w:spacing w:after="0" w:before="8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The system ingests data from two public NYC Open Data endpoints, engineers over 40 features spanning temporal patterns, financial characteristics, weather conditions, officer-level metadata, vehicle information, and plate history. A CatBoost gradient boosting classifier is trained on approximately 500,000 historical tickets using an NVIDIA RTX 5070 Ti GPU, achieving a target ROC-AUC of 0.88–0.90 and accuracy of 83–85%.</w:t>
      </w:r>
    </w:p>
    <w:p>
      <w:pPr>
        <w:spacing w:after="0" w:before="8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A companion appeal letter module uses the Anthropic Claude API (claude-sonnet-4-6) to analyze user-submitted evidence, select the strongest legal dispute grounds from 15+ NYC-specific strategies, and generate a professionally formatted PDF letter with exhibit pages — all for an estimated cost of $0.08–0.15 per letter.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2. Problem Statement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Each year, New York City issues millions of parking tickets. A significant share are successfully dismissed when disputed — yet most drivers pay without challenging, either because they lack confidence in their chances or lack the tools to evaluate them. The core challenge is twofold: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There is no easily accessible way for a driver to estimate how likely their specific ticket is to be dismissed before investing time in a dispute.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Even when drivers choose to dispute, drafting a compelling, legally-grounded appeal letter requires expertise most do not have.</w:t>
      </w:r>
    </w:p>
    <w:p>
      <w:pPr>
        <w:spacing w:after="0" w:before="8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FineHero addresses both problems: a predictive model that scores win probability, and an AI-powered letter generator that produces the actual appeal document.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3. Data Sources &amp; Acquisition</w:t>
      </w:r>
    </w:p>
    <w:p>
      <w:pPr>
        <w:pStyle w:val="Heading2"/>
      </w:pPr>
      <w:r>
        <w:rPr>
          <w:b/>
          <w:bCs/>
          <w:color w:val="1F3864"/>
        </w:rPr>
        <w:t xml:space="preserve">3.1  Primary Sources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Dataset 1:  </w:t>
            </w:r>
            <w:r>
              <w:rPr>
                <w:color w:val="595959"/>
                <w:sz w:val="20"/>
                <w:szCs w:val="20"/>
              </w:rPr>
              <w:t xml:space="preserve">Open Parking &amp; Camera Violations (nc67-uf89) — provides ticket adjudication outcomes: dismissed, paid, guilty, reduction granted, hearing held, etc.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Dataset 2:  </w:t>
            </w:r>
            <w:r>
              <w:rPr>
                <w:color w:val="595959"/>
                <w:sz w:val="20"/>
                <w:szCs w:val="20"/>
              </w:rPr>
              <w:t xml:space="preserve">Parking Violations Issued (pvqr-7yc4) — provides rich pre-hearing ticket metadata: issuing officer, street address, vehicle details, posted hours in effect, feet from curb, legal code, etc.</w:t>
            </w:r>
          </w:p>
        </w:tc>
      </w:tr>
    </w:tbl>
    <w:p>
      <w:pPr>
        <w:spacing w:after="0" w:before="140"/>
      </w:pPr>
    </w:p>
    <w:p>
      <w:pPr>
        <w:pStyle w:val="Heading2"/>
      </w:pPr>
      <w:r>
        <w:rPr>
          <w:b/>
          <w:bCs/>
          <w:color w:val="1F3864"/>
        </w:rPr>
        <w:t xml:space="preserve">3.2  Acquisition Strategy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Both datasets are queried via the NYC Socrata REST API using paginated requests of 50,000 rows per page.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The pvqr dataset is fetched at 2× the target row count to maximize summons_number overlap with the outcomes dataset, since pvqr covers only one fiscal year.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All API responses are cached to disk (outcomes_raw.csv, pvqr_raw.csv) so reruns skip network fetches.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The two datasets are joined on summons_number using a left join with the outcomes dataset as the base. Match rate and join statistics are printed at runtime.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An automatic migration path handles older single-dataset cache files.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Final merged dataset: ~500,000 rows used for training.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4. Data Pipeline Architecture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NYC Socrata API                    NYC Socrata API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nc67-uf89 (Outcomes)              pvqr-7yc4 (Rich Features)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~500k rows                        ~1M rows fetched (2x target)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|          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|  outcomes_raw.csv          pvqr_raw.csv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|__________________________________________|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JOIN on summons_number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(left join, outcomes as base)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violations_raw.csv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Feature Engineering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(temporal, financial, weather, keywords,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pvqr fields, plate history, cross-features)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features.csv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+ cat_features.joblib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+ plate_history_map.joblib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CatBoost Training (GPU)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Optuna tuning  --&gt;  Final fit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catboost_model.cbm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+ metadata.json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          |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┌─────────────────┐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│  predict.py 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│  win prob. %    │</w:t>
            </w:r>
          </w:p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                └─────────────────┘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The pipeline is implemented as four sequential Python modules orchestrated by pipeline.py: fetch_data.py (data acquisition and join), engineer.py (feature engineering), train.py (model training and Optuna search), and evaluate.py (metrics and metadata export).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5. Feature Engineering Methodology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All features are strictly pre-hearing — information that was available at the time the ticket was issued, before any adjudication. See Section 6 for leakage prevention details.</w:t>
      </w:r>
    </w:p>
    <w:p>
      <w:pPr>
        <w:spacing w:after="0" w:before="80"/>
      </w:pPr>
    </w:p>
    <w:p>
      <w:pPr>
        <w:pStyle w:val="Heading2"/>
      </w:pPr>
      <w:r>
        <w:rPr>
          <w:b/>
          <w:bCs/>
          <w:color w:val="1F3864"/>
        </w:rPr>
        <w:t xml:space="preserve">5.1  Temporal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Rationale: </w:t>
      </w:r>
      <w:r>
        <w:rPr>
          <w:color w:val="595959"/>
          <w:sz w:val="22"/>
          <w:szCs w:val="22"/>
        </w:rPr>
        <w:t xml:space="preserve">hour_of_offense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Parsed from NYC’s non-standard time strings (“0156P”, “01:56P”, “1:56PM”) using a multi-format regex. Rush-hour and late-night tickets have very different dismissal patterns.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Rationale: </w:t>
      </w:r>
      <w:r>
        <w:rPr>
          <w:color w:val="595959"/>
          <w:sz w:val="22"/>
          <w:szCs w:val="22"/>
        </w:rPr>
        <w:t xml:space="preserve">day_of_week, month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Officer patrol patterns and court backlogs vary by day and month, affecting dismissal rates.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Rationale: </w:t>
      </w:r>
      <w:r>
        <w:rPr>
          <w:color w:val="595959"/>
          <w:sz w:val="22"/>
          <w:szCs w:val="22"/>
        </w:rPr>
        <w:t xml:space="preserve">is_weekend, is_holiday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Weekend and holiday tickets often involve ambiguous signage or posting rules.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Rationale: </w:t>
      </w:r>
      <w:r>
        <w:rPr>
          <w:color w:val="595959"/>
          <w:sz w:val="22"/>
          <w:szCs w:val="22"/>
        </w:rPr>
        <w:t xml:space="preserve">days_since_ticket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Tickets filed long ago may be harder to contest due to lost evidence; also captures temporal drift in enforcement patterns.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5.2  Financial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Rationale: </w:t>
      </w:r>
      <w:r>
        <w:rPr>
          <w:color w:val="595959"/>
          <w:sz w:val="22"/>
          <w:szCs w:val="22"/>
        </w:rPr>
        <w:t xml:space="preserve">fine_amount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Higher fines incentivize disputing; fine amount also correlates with violation severity and the likelihood of it being a clear-cut infraction.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5.3  Weather Features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Fetched from the Open-Meteo historical archive API (free, no API key required), cached per NYC borough to minimize API calls.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Variables: </w:t>
      </w:r>
      <w:r>
        <w:rPr>
          <w:color w:val="595959"/>
          <w:sz w:val="22"/>
          <w:szCs w:val="22"/>
        </w:rPr>
        <w:t xml:space="preserve">precipitation, visibility, wind_speed, weather_code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Heavy rain (&gt;2mm), fog (codes 45/48), or snow (code ≥71) is flagged as is_bad_weather.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Rationale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Poor weather conditions can support arguments that signage was obscured or that parking circumstances were unusual.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5.4  Keyword / Text Features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Binary flags extracted from violation_description (preferred) or violation_code text: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kw_meter — meter or muni meter violations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kw_hydrant — fire hydrant violations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kw_bus_stop — bus stop or bus lane violations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kw_sign — no standing/parking/stopping or sign-related violations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kw_blocking — blocking crosswalk, driveway, or sidewalk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kw_expired — expired registration or meter violations</w:t>
      </w:r>
    </w:p>
    <w:p>
      <w:pPr>
        <w:spacing w:after="0" w:before="4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Rationale: different violation types have radically different dismissal rates. Meter and signage violations are frequently dismissed; blocking violations are not.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5.5  pvqr-7yc4 Rich Features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Available only for tickets that matched in the join. Dramatically increases model signal for matched rows.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  <w:sz w:val="22"/>
          <w:szCs w:val="22"/>
        </w:rPr>
        <w:t xml:space="preserve">Key numeric: </w:t>
      </w:r>
      <w:r>
        <w:rPr>
          <w:color w:val="595959"/>
          <w:sz w:val="22"/>
          <w:szCs w:val="22"/>
        </w:rPr>
        <w:t xml:space="preserve">within_posted_hours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Boolean: was the ticket issued within the posted hours-in-effect window? Handles both standard and overnight posting ranges (e.g., 10PM–6AM). This is one of the strongest dismissal signals — a ticket outside posted hours is nearly always dismissed.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feet_from_curb — distance from curb at time of issue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house_number — parsed numeric portion of house number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vehicle_year — model year of the vehicle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from_hour, to_hour — parsed start/end of hours-in-effect window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5.6  Categorical Features (Native CatBoost Handling)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Rather than ordinal-encoding, all categorical columns are passed as raw strings using CatBoost’s cat_features parameter. CatBoost builds ordered target statistics internally — equivalent to smoothed target encoding but done within the model’s own algorithm, which prevents leakage from future rows during training.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Core: violation_code, precinct, county, issuing_agency, license_type, state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Officer/location: issuer_code, street_name (high-cardinality; CatBoost smooths rare values automatically)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Vehicle: vehicle_make, vehicle_color, vehicle_body_type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Legal: violation_legal_code, law_section, sub_division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5.7  Cross-Features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String-concatenated interaction features, also passed as cat_features so CatBoost target-encodes the combinations: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viol_x_precinct — violation_code × precinct: some violations are routinely dismissed in specific precincts but not others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viol_x_license — violation_code × license_type: commercial vs. passenger vehicles have very different outcomes for the same violation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hour_x_dow — hour bin × day of week: captures shift-change and court-pattern interactions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5.8  Plate History Features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Leave-one-out chronological encoding — for each ticket, only prior tickets from the same plate are used (no current ticket, no future tickets):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plate_prior_ticket_count — how many times this plate has been ticketed before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plate_prior_win_rate — historical win rate for this plate, smoothed with PLATE_SMOOTH_K=10 toward the global mean</w:t>
      </w:r>
    </w:p>
    <w:p>
      <w:pPr>
        <w:spacing w:after="0" w:before="4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Rationale: repeat offenders and first-time offenders behave very differently at hearings. A plate with a strong prior dismissal record often indicates a driver who knows how to argue effectively.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6. Leakage Prevention Strategy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Data leakage — using information from after the hearing in the model — is the most critical pitfall in this problem domain. The following measures are enforced: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Excluded at source: penalty_amount, reduction_amount, payment_amount, amount_due — all post-hearing financial columns are dropped before feature engineering begins.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Filtered at source: rows with violation_status of OUTSTANDING or IN PROCESS (no outcome yet) are removed from training entirely.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Plate history uses LOO encoding: when computing plate_prior_win_rate for a given ticket, only tickets chronologically earlier for that plate are counted. The current ticket’s outcome is never included.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Train/test split is done before target encoding: no test-set outcomes influence any encoding or statistics computed during training.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Weather is historical archive data (Open-Meteo past weather), not forecast data — it was genuinely available the day of the ticket.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Cross-features and categoricals are encoded inside CatBoost using ordered target statistics, which CatBoost computes in a permuted order to prevent within-training leakage.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7. Model Selection &amp; Rationale</w:t>
      </w:r>
    </w:p>
    <w:p>
      <w:pPr>
        <w:pStyle w:val="Heading2"/>
      </w:pPr>
      <w:r>
        <w:rPr>
          <w:b/>
          <w:bCs/>
          <w:color w:val="1F3864"/>
        </w:rPr>
        <w:t xml:space="preserve">7.1  Why CatBoost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Native categorical support: CatBoost’s ordered target statistics are strictly better than manual ordinal encoding for high-cardinality columns like street_name and issuer_code (thousands of unique values). No preprocessing pipeline needed.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GPU acceleration: CatBoost’s GPU kernel runs on the NVIDIA RTX 5070 Ti (Blackwell, sm_120, CUDA 13.1), reducing training time from ~45 minutes (AutoGluon CPU tree models) to ~5–10 minutes.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Native NaN handling: CatBoost processes missing numeric values natively — no imputer required for the main model. This avoids imputation-induced bias on sparse pvqr columns.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Class imbalance: auto_class_weights=’Balanced’ handles the won/lost imbalance without manual weight tuning.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Production-friendliness: a single .cbm file is the only artifact needed at inference time — no encoder pipeline chain to serialize.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7.2  Alternatives Considered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AutoGluon best_quality preset: tested and achieved AUC 0.8578 / 81.80% accuracy. Rejected for production due to ~45-minute training time (neural net stacking dominates), large model directory (~2GB+), and slower inference latency.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XGBoost: does not support native categoricals without preprocessing; GPU device=’cuda’ available but requires ordinal encoding, adding pipeline complexity.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LightGBM: competitive accuracy but GPU support requires a separately compiled binary (not available in the standard pip package). CPU-only in practice for this setup.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Logistic Regression: retained as a fast, interpretable baseline. Ordinal-encoded categoricals are required; achieves AUC ~0.74–0.76 (significantly lower than CatBoost).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8. Hyperparameter Optimization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Hyperparameters are tuned using Optuna with the TPE (Tree-structured Parzen Estimator) sampler: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Trials: 20 independent CatBoost runs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Iterations per trial: 800 (upper bound), with 100-round early stopping on the 10% eval slice — most trials stop around 300–600 iterations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Objective: maximize validation AUC on the held-out eval slice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Search space: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depth: integer in [6, 10]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learning_rate: log-uniform in [0.02, 0.12]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l2_leaf_reg: log-uniform in [1.0, 10.0]</w:t>
      </w:r>
    </w:p>
    <w:p>
      <w:pPr>
        <w:pStyle w:val="ListParagraph"/>
        <w:numPr>
          <w:ilvl w:val="0"/>
          <w:numId w:val="3"/>
        </w:numPr>
      </w:pPr>
      <w:r>
        <w:rPr>
          <w:color w:val="595959"/>
          <w:sz w:val="20"/>
          <w:szCs w:val="20"/>
        </w:rPr>
        <w:t xml:space="preserve">border_count: integer in [128, 254]</w:t>
      </w:r>
    </w:p>
    <w:p>
      <w:pPr>
        <w:spacing w:after="0" w:before="6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After the search, best_params.joblib is saved and used for the final training run (up to 5,000 iterations with 100-round early stopping). Optuna can be disabled via USE_OPTUNA = False for a fast ~5-minute run with sane defaults (depth=8, lr=0.05, l2_leaf_reg=3.0).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9. Training &amp; Validation Strategy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Stratified 80/20 train/test split (sklearn StratifiedShuffleSplit, seed=42) — class proportions are preserved in both splits.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 further 10% of the training set is carved off as an early-stopping eval slice (seed=7). This slice is used during Optuna trials and the final training run but is never part of the held-out test set.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The test set (20%) is touched exactly once — during evaluate.py — to produce the final reported metrics.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CatBoost’s use_best_model=True is enabled: the model checkpoint with the highest eval AUC is returned, not the final iteration.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cat_features are passed as raw strings to Pool() — CatBoost internally builds its own encodings using ordered target statistics on the training fold only.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Baseline Logistic Regression is trained on the same 80% training set with median imputation and ordinal encoding for comparison.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10. Appeal Letter Generation System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The appeal system is a separate module (finehero-appeal/) that takes ticket data and user-submitted evidence and produces a professionally formatted PDF appeal letter.</w:t>
      </w:r>
    </w:p>
    <w:p>
      <w:pPr>
        <w:spacing w:after="0" w:before="80"/>
      </w:pPr>
    </w:p>
    <w:p>
      <w:pPr>
        <w:pStyle w:val="Heading2"/>
      </w:pPr>
      <w:r>
        <w:rPr>
          <w:b/>
          <w:bCs/>
          <w:color w:val="1F3864"/>
        </w:rPr>
        <w:t xml:space="preserve">10.1  Evidence Analysis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Photos: base64-encoded and sent to claude-sonnet-4-6 via the vision API. Claude identifies relevant details (signage, meter display, road markings, timestamps) that support a dispute.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PDFs: converted to page images via PyMuPDF and analyzed the same way.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Documents: text extracted and analyzed for relevant context (insurance records, payment proofs, etc.).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10.2  Strategy Selection</w:t>
      </w:r>
    </w:p>
    <w:p>
      <w:pPr>
        <w:spacing w:after="60" w:before="60"/>
      </w:pPr>
      <w:r>
        <w:rPr>
          <w:color w:val="595959"/>
          <w:sz w:val="22"/>
          <w:szCs w:val="22"/>
        </w:rPr>
        <w:t xml:space="preserve">A structured output call to claude-sonnet-4-6 selects from 15+ NYC-specific dispute grounds, including: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Sign not posted or obscured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Meter malfunction or meter fed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Vehicle not present at location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Ticket issued outside hours-in-effect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Incorrect plate, make, or registration data on ticket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Officer not authorized to issue this violation type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First-time offender with clean record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10.3  Letter Generation &amp; PDF Assembly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 full appeal letter is generated by claude-sonnet-4-6 incorporating the ticket data, evidence analysis, and selected legal grounds.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ReportLab assembles the final PDF with a styled cover, body letter, and exhibit pages for each piece of evidence.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Total estimated cost per letter: $0.08–0.15 (dominated by evidence vision calls; the strategy + letter generation calls cost ~$0.02–0.04 combined).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11. Evaluation Framework &amp; Expected Results</w:t>
      </w:r>
    </w:p>
    <w:p>
      <w:pPr>
        <w:pStyle w:val="Heading2"/>
      </w:pPr>
      <w:r>
        <w:rPr>
          <w:b/>
          <w:bCs/>
          <w:color w:val="1F3864"/>
        </w:rPr>
        <w:t xml:space="preserve">11.1  Metrics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Primary: ROC-AUC — measures the model’s ability to rank winning tickets above losing ones, regardless of threshold. More useful than accuracy given class imbalance.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Secondary: Accuracy, Precision/Recall/F1 per class (Won / Lost), Confusion Matrix.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Feature importance: CatBoost built-in importance scores (not permutation-based, so instant to compute on any dataset size).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11.2  Expected Results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9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29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Baseline (Logistic Regression)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~0.74–0.76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~72–74%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CatBoost (pre-improvements)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0.8578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81.80%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CatBoost + full feature set (target)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0.88–0.90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83–85%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595959"/>
          <w:sz w:val="22"/>
          <w:szCs w:val="22"/>
        </w:rPr>
        <w:t xml:space="preserve">Metadata (AUC, accuracy, feature list, timestamp, row count) is written to models/metadata.json after each evaluation run and is consumed by predict.py at inference time.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12. Limitations &amp; Future Work</w:t>
      </w:r>
    </w:p>
    <w:p>
      <w:pPr>
        <w:pStyle w:val="Heading2"/>
      </w:pPr>
      <w:r>
        <w:rPr>
          <w:b/>
          <w:bCs/>
          <w:color w:val="1F3864"/>
        </w:rPr>
        <w:t xml:space="preserve">12.1  Current Limitations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Join coverage: pvqr-7yc4 covers only one fiscal year, so only ~30–50% of outcome rows will match. Unmatched rows fall back to outcomes-only features.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Temporal drift: NYC enforcement policy and adjudicator behavior change over time. Models trained on older data may degrade on current tickets. Periodic retraining is recommended.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Weather API latency: the Open-Meteo archive API is free but rate-limited; weather fetching for large datasets can take several minutes.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Calibration: CatBoost probabilities are not calibrated. The raw output should be interpreted as a ranking score, not a literal probability. Isotonic calibration could be added.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Appeal letter quality: Claude’s letter quality depends on the accuracy and completeness of evidence provided by the user.</w:t>
      </w:r>
    </w:p>
    <w:p>
      <w:pPr>
        <w:spacing w:after="0" w:before="60"/>
      </w:pPr>
    </w:p>
    <w:p>
      <w:pPr>
        <w:pStyle w:val="Heading2"/>
      </w:pPr>
      <w:r>
        <w:rPr>
          <w:b/>
          <w:bCs/>
          <w:color w:val="1F3864"/>
        </w:rPr>
        <w:t xml:space="preserve">12.2  Future Work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Probability calibration using CalibratedClassifierCV with isotonic regression.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Lightweight ensemble: averaging CatBoost with a single LightGBM model typically adds 0.003–0.005 AUC at low cost.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Court schedule integration: adjudicator leniency varies by hearing room and time slot — if FOIL data is available, this is a strong signal.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Multi-year pvqr join: stack multiple fiscal year pvqr datasets to dramatically increase join coverage.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User feedback loop: log appeal outcomes and incorporate them as additional training rows over time.</w:t>
      </w:r>
    </w:p>
    <w:p>
      <w:pPr>
        <w:pStyle w:val="ListParagraph"/>
        <w:numPr>
          <w:ilvl w:val="0"/>
          <w:numId w:val="2"/>
        </w:numPr>
      </w:pPr>
      <w:r>
        <w:rPr>
          <w:color w:val="595959"/>
          <w:sz w:val="22"/>
          <w:szCs w:val="22"/>
        </w:rPr>
        <w:t xml:space="preserve">Mobile interface: expose the ML scoring API and appeal letter generator as a mobile-friendly web app.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</w:pPr>
      <w:r>
        <w:rPr>
          <w:b/>
          <w:bCs/>
          <w:color w:val="1F3864"/>
        </w:rPr>
        <w:t xml:space="preserve">13. Tech Stack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CatBoost 1.2+ (gradient boosting, native categorical support)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Hyperparameter Opt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Optuna 3.5+ (TPE sampler, 20 trials)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pandas 2.0+, NumPy 1.26+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Baseline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scikit-learn 1.4+ (LogisticRegression, OrdinalEncoder, StratifiedShuffleSplit)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NVIDIA RTX 5070 Ti, Blackwell sm_120, CUDA 13.1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Deep Learning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PyTorch 2.12.0.dev+cu128 nightly (GPU detection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NYC Open Data Socrata API (nc67-uf89, pvqr-7yc4) — free, no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Open-Meteo Historical Archive — free, no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Anthropic claude-sonnet-4-6 (vision + text, structured output)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ReportLab (appeal letter PDF assembly)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PyMuPDF (fitz) — evidence PDF to image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Pillow (evidence image encoding for Claude vision)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requests 2.31+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CatBoost .cbm format, joblib (metadata / supporting maps)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pipeline.py (sequential: fetch → engineer → train → evaluate)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color w:val="595959"/>
        <w:sz w:val="16"/>
        <w:szCs w:val="16"/>
      </w:rPr>
      <w:t xml:space="preserve">Confidential — Internal Use Only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 w:before="0"/>
    </w:pPr>
    <w:r>
      <w:rPr>
        <w:b/>
        <w:bCs/>
        <w:color w:val="1F3864"/>
        <w:sz w:val="18"/>
        <w:szCs w:val="18"/>
      </w:rPr>
      <w:t xml:space="preserve">FineHero ML  —  Methodology &amp; Approach</w:t>
    </w:r>
    <w:r>
      <w:rPr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20" w:before="2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2026-04-19T18:00:43.419Z</dcterms:created>
  <dcterms:modified xsi:type="dcterms:W3CDTF">2026-04-19T18:00:43.419Z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