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pPr>
      <w:r>
        <w:t>Premonition integrated model design</w:t>
      </w:r>
    </w:p>
    <w:p>
      <w:pPr>
        <w:pStyle w:val="Subtitle"/>
      </w:pPr>
      <w:r>
        <w:t>Research and implementation priorities for a fast learning personal model</w:t>
      </w:r>
    </w:p>
    <w:p>
      <w:r>
        <w:t>Prepared for Ben by Derek • 1 October 2026 • Evening revision • Checked execution update 2 October 2026</w:t>
      </w:r>
    </w:p>
    <w:p>
      <w:pPr>
        <w:pStyle w:val="Heading2"/>
      </w:pPr>
      <w:r>
        <w:t>Current status • 3 October 2026</w:t>
      </w:r>
    </w:p>
    <w:p>
      <w:r>
        <w:t>The checked status update at the end records the approved small English pilot, partial arithmetic benchmark, CPU preparation and same-cap billing. It supersedes earlier operational preparation or launch wording; those dated records remain historical. Premonition GPU dispatch is on hold for the separately owned, now-working Qwen service. The main objectives and their order remain unchanged.</w:t>
      </w:r>
    </w:p>
    <w:p>
      <w:pPr>
        <w:pStyle w:val="Heading2"/>
      </w:pPr>
      <w:r>
        <w:t>Main recommendation</w:t>
      </w:r>
    </w:p>
    <w:p>
      <w:r>
        <w:t>The current priority is to establish current-size reasoning generalization with the existing English interfaces, improve English where measured errors require it, then scale a working recipe fairly. Prove notebook retrieval, corrections, multi-hop use and missing-information abstention before reliable writing. Integrate bounded complete-candidate creative help with external checking and verified experiences; later prove overnight worker-only gains without forgetting and dependable complete conversations. New architectural or reasoning-method changes remain separate decisions.</w:t>
      </w:r>
    </w:p>
    <w:p>
      <w:r>
        <w:t>The checked depth comparison found no transfer benefit: every endpoint scored zero of eight fresh pairs, with an inconclusive paired verdict. The eight-versus-32 coverage comparison closed at 23:37 UTC with zero of eight fresh pairs in all four endpoints; its success criterion failed. Retain the shallow model as the simpler, faster-training reference. Better practice fit has not established generalization.</w:t>
      </w:r>
    </w:p>
    <w:p>
      <w:r>
        <w:t>The design targets one 5070 Ti with 16 GB and eventual own architecture and weights. The static-versus-contextual input comparison uses a thin trainable reader with frozen lexical embeddings or frozen causal contextual states from the existing borrowed output transformer. The fixed learning-rate comparison completed all eight 5120-update endpoints: six score 32/32 TRAIN at all three checks; seed 1/contextual scores 24/32 with control and 29/32 with lower LR at the terminal. Neither primary branch is stable. Fitting searches stop. English and reasoning generalization, and the eventual own-weights interface, remain unproved.</w:t>
      </w:r>
    </w:p>
    <w:p>
      <w:pPr>
        <w:pStyle w:val="Heading2"/>
      </w:pPr>
      <w:r>
        <w:t>Facts context and skills are different</w:t>
      </w:r>
    </w:p>
    <w:p>
      <w:r>
        <w:t>A notebook can retain a taught fact immediately. Retrieved examples can change the next answer without updating the model. Temporary working state, including a resettable fast-weight matrix, can support that contextual adaptation. Persistent skill learning requires more: a saved change must improve unseen instances after context reset and survive intervening learning.</w:t>
      </w:r>
    </w:p>
    <w:p>
      <w:r>
        <w:t>These outcomes need separate evidence. A corrected fact is not a new reasoning method. A successful creative retry is not worker learning. Faster online adaptation may depend on substantial offline meta-training, which must remain part of the cost accounting.</w:t>
      </w:r>
    </w:p>
    <w:p>
      <w:pPr>
        <w:pStyle w:val="Heading2"/>
      </w:pPr>
      <w:r>
        <w:t>The connected system</w:t>
      </w:r>
    </w:p>
    <w:p>
      <w:r>
        <w:t>The worker interprets English, retrieves current evidence, selects calculator actions and returns an answer through a faithful output interface. Bounded creative exploration may offer additional candidates when better search could resolve a task. It cannot manufacture missing facts or certify its own guesses.</w:t>
      </w:r>
    </w:p>
    <w:p>
      <w:r>
        <w:t>Trusted corrections or independently checked outcomes create learning experiences. Initially reuse those examples through context. A later small adapter could acquire skills with the core frozen; overnight replay could consolidate useful behavior into a candidate core. Deploy the core and adapter as a validated versioned pair so a core update cannot silently invalidate its adapter.</w:t>
      </w:r>
    </w:p>
    <w:p>
      <w:r>
        <w:t>The shared-transformer input route is implemented and measured on TRAIN. The fixed LR diagnosis improves the difficult branch but fails its stability criterion, so no further fitting search is selected. Next prepare one narrow arithmetic-transfer panel supplied and independently checked by the parent, comparing all eight fixed terminal checkpoints. Forced calculator copying is rejected. Digit auxiliary heads and broader teacher-led English lessons remain unimplemented; architecture and reasoning changes require a separate decision.</w:t>
      </w:r>
    </w:p>
    <w:p>
      <w:pPr>
        <w:pStyle w:val="Heading1"/>
        <w:pageBreakBefore/>
      </w:pPr>
      <w:r>
        <w:t>Current evidence and limits</w:t>
      </w:r>
    </w:p>
    <w:p>
      <w:r>
        <w:t>Independent checking confirms no fresh paired advantage from depth in this controlled comparison. Both architectures trained two seeds for 1,024 updates each. Every endpoint scored eight of eight training task calls and final answers, including all four training pairs. A fresh pair counts as correct only when both contrast questions are answered correctly.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2448"/>
        <w:gridCol w:w="2448"/>
        <w:gridCol w:w="2448"/>
      </w:tblGrid>
      <w:tr>
        <w:trPr>
          <w:cantSplit/>
          <w:tblHeader/>
        </w:trPr>
        <w:tc>
          <w:tcPr>
            <w:tcW w:type="dxa" w:w="2736"/>
            <w:vAlign w:val="center"/>
            <w:tcMar>
              <w:top w:w="85" w:type="dxa"/>
              <w:left w:w="100" w:type="dxa"/>
              <w:bottom w:w="85" w:type="dxa"/>
              <w:right w:w="100" w:type="dxa"/>
            </w:tcMar>
            <w:shd w:fill="263B4D"/>
          </w:tcPr>
          <w:p>
            <w:pPr>
              <w:spacing w:line="247" w:lineRule="auto" w:after="0"/>
            </w:pPr>
            <w:r>
              <w:rPr>
                <w:b/>
                <w:color w:val="FFFFFF"/>
                <w:sz w:val="19"/>
              </w:rPr>
              <w:t>Fresh panel endpoint</w:t>
            </w:r>
          </w:p>
        </w:tc>
        <w:tc>
          <w:tcPr>
            <w:tcW w:type="dxa" w:w="2448"/>
            <w:vAlign w:val="center"/>
            <w:tcMar>
              <w:top w:w="85" w:type="dxa"/>
              <w:left w:w="100" w:type="dxa"/>
              <w:bottom w:w="85" w:type="dxa"/>
              <w:right w:w="100" w:type="dxa"/>
            </w:tcMar>
            <w:shd w:fill="263B4D"/>
          </w:tcPr>
          <w:p>
            <w:pPr>
              <w:spacing w:line="247" w:lineRule="auto" w:after="0"/>
              <w:jc w:val="center"/>
            </w:pPr>
            <w:r>
              <w:rPr>
                <w:b/>
                <w:color w:val="FFFFFF"/>
                <w:sz w:val="19"/>
              </w:rPr>
              <w:t>Correct task call</w:t>
            </w:r>
          </w:p>
        </w:tc>
        <w:tc>
          <w:tcPr>
            <w:tcW w:type="dxa" w:w="2448"/>
            <w:vAlign w:val="center"/>
            <w:tcMar>
              <w:top w:w="85" w:type="dxa"/>
              <w:left w:w="100" w:type="dxa"/>
              <w:bottom w:w="85" w:type="dxa"/>
              <w:right w:w="100" w:type="dxa"/>
            </w:tcMar>
            <w:shd w:fill="263B4D"/>
          </w:tcPr>
          <w:p>
            <w:pPr>
              <w:spacing w:line="247" w:lineRule="auto" w:after="0"/>
              <w:jc w:val="center"/>
            </w:pPr>
            <w:r>
              <w:rPr>
                <w:b/>
                <w:color w:val="FFFFFF"/>
                <w:sz w:val="19"/>
              </w:rPr>
              <w:t>Correct final answer</w:t>
            </w:r>
          </w:p>
        </w:tc>
        <w:tc>
          <w:tcPr>
            <w:tcW w:type="dxa" w:w="2448"/>
            <w:vAlign w:val="center"/>
            <w:tcMar>
              <w:top w:w="85" w:type="dxa"/>
              <w:left w:w="100" w:type="dxa"/>
              <w:bottom w:w="85" w:type="dxa"/>
              <w:right w:w="100" w:type="dxa"/>
            </w:tcMar>
            <w:shd w:fill="263B4D"/>
          </w:tcPr>
          <w:p>
            <w:pPr>
              <w:spacing w:line="247" w:lineRule="auto" w:after="0"/>
              <w:jc w:val="center"/>
            </w:pPr>
            <w:r>
              <w:rPr>
                <w:b/>
                <w:color w:val="FFFFFF"/>
                <w:sz w:val="19"/>
              </w:rPr>
              <w:t>Correct answer pairs</w:t>
            </w:r>
          </w:p>
        </w:tc>
      </w:tr>
      <w:tr>
        <w:trPr>
          <w:cantSplit/>
        </w:trPr>
        <w:tc>
          <w:tcPr>
            <w:tcW w:type="dxa" w:w="2736"/>
            <w:vAlign w:val="center"/>
            <w:tcMar>
              <w:top w:w="85" w:type="dxa"/>
              <w:left w:w="100" w:type="dxa"/>
              <w:bottom w:w="85" w:type="dxa"/>
              <w:right w:w="100" w:type="dxa"/>
            </w:tcMar>
            <w:shd w:fill="FFFFFF"/>
          </w:tcPr>
          <w:p>
            <w:pPr>
              <w:spacing w:line="247" w:lineRule="auto" w:after="0"/>
            </w:pPr>
            <w:r>
              <w:rPr>
                <w:sz w:val="19"/>
              </w:rPr>
              <w:t>Shallow seed 0</w:t>
            </w:r>
          </w:p>
        </w:tc>
        <w:tc>
          <w:tcPr>
            <w:tcW w:type="dxa" w:w="2448"/>
            <w:vAlign w:val="center"/>
            <w:tcMar>
              <w:top w:w="85" w:type="dxa"/>
              <w:left w:w="100" w:type="dxa"/>
              <w:bottom w:w="85" w:type="dxa"/>
              <w:right w:w="100" w:type="dxa"/>
            </w:tcMar>
            <w:shd w:fill="FFFFFF"/>
          </w:tcPr>
          <w:p>
            <w:pPr>
              <w:spacing w:line="247" w:lineRule="auto" w:after="0"/>
              <w:jc w:val="center"/>
            </w:pPr>
            <w:r>
              <w:rPr>
                <w:sz w:val="19"/>
              </w:rPr>
              <w:t>7 of 16</w:t>
            </w:r>
          </w:p>
        </w:tc>
        <w:tc>
          <w:tcPr>
            <w:tcW w:type="dxa" w:w="2448"/>
            <w:vAlign w:val="center"/>
            <w:tcMar>
              <w:top w:w="85" w:type="dxa"/>
              <w:left w:w="100" w:type="dxa"/>
              <w:bottom w:w="85" w:type="dxa"/>
              <w:right w:w="100" w:type="dxa"/>
            </w:tcMar>
            <w:shd w:fill="FFFFFF"/>
          </w:tcPr>
          <w:p>
            <w:pPr>
              <w:spacing w:line="247" w:lineRule="auto" w:after="0"/>
              <w:jc w:val="center"/>
            </w:pPr>
            <w:r>
              <w:rPr>
                <w:sz w:val="19"/>
              </w:rPr>
              <w:t>1 of 16</w:t>
            </w:r>
          </w:p>
        </w:tc>
        <w:tc>
          <w:tcPr>
            <w:tcW w:type="dxa" w:w="2448"/>
            <w:vAlign w:val="center"/>
            <w:tcMar>
              <w:top w:w="85" w:type="dxa"/>
              <w:left w:w="100" w:type="dxa"/>
              <w:bottom w:w="85" w:type="dxa"/>
              <w:right w:w="100" w:type="dxa"/>
            </w:tcMar>
            <w:shd w:fill="FFFFFF"/>
          </w:tcPr>
          <w:p>
            <w:pPr>
              <w:spacing w:line="247" w:lineRule="auto" w:after="0"/>
              <w:jc w:val="center"/>
            </w:pPr>
            <w:r>
              <w:rPr>
                <w:sz w:val="19"/>
              </w:rPr>
              <w:t>0 of 8</w:t>
            </w:r>
          </w:p>
        </w:tc>
      </w:tr>
      <w:tr>
        <w:trPr>
          <w:cantSplit/>
        </w:trPr>
        <w:tc>
          <w:tcPr>
            <w:tcW w:type="dxa" w:w="2736"/>
            <w:vAlign w:val="center"/>
            <w:tcMar>
              <w:top w:w="85" w:type="dxa"/>
              <w:left w:w="100" w:type="dxa"/>
              <w:bottom w:w="85" w:type="dxa"/>
              <w:right w:w="100" w:type="dxa"/>
            </w:tcMar>
            <w:shd w:fill="F2F5F7"/>
          </w:tcPr>
          <w:p>
            <w:pPr>
              <w:spacing w:line="247" w:lineRule="auto" w:after="0"/>
            </w:pPr>
            <w:r>
              <w:rPr>
                <w:sz w:val="19"/>
              </w:rPr>
              <w:t>Deep seed 0</w:t>
            </w:r>
          </w:p>
        </w:tc>
        <w:tc>
          <w:tcPr>
            <w:tcW w:type="dxa" w:w="2448"/>
            <w:vAlign w:val="center"/>
            <w:tcMar>
              <w:top w:w="85" w:type="dxa"/>
              <w:left w:w="100" w:type="dxa"/>
              <w:bottom w:w="85" w:type="dxa"/>
              <w:right w:w="100" w:type="dxa"/>
            </w:tcMar>
            <w:shd w:fill="F2F5F7"/>
          </w:tcPr>
          <w:p>
            <w:pPr>
              <w:spacing w:line="247" w:lineRule="auto" w:after="0"/>
              <w:jc w:val="center"/>
            </w:pPr>
            <w:r>
              <w:rPr>
                <w:sz w:val="19"/>
              </w:rPr>
              <w:t>6 of 16</w:t>
            </w:r>
          </w:p>
        </w:tc>
        <w:tc>
          <w:tcPr>
            <w:tcW w:type="dxa" w:w="2448"/>
            <w:vAlign w:val="center"/>
            <w:tcMar>
              <w:top w:w="85" w:type="dxa"/>
              <w:left w:w="100" w:type="dxa"/>
              <w:bottom w:w="85" w:type="dxa"/>
              <w:right w:w="100" w:type="dxa"/>
            </w:tcMar>
            <w:shd w:fill="F2F5F7"/>
          </w:tcPr>
          <w:p>
            <w:pPr>
              <w:spacing w:line="247" w:lineRule="auto" w:after="0"/>
              <w:jc w:val="center"/>
            </w:pPr>
            <w:r>
              <w:rPr>
                <w:sz w:val="19"/>
              </w:rPr>
              <w:t>0 of 16</w:t>
            </w:r>
          </w:p>
        </w:tc>
        <w:tc>
          <w:tcPr>
            <w:tcW w:type="dxa" w:w="2448"/>
            <w:vAlign w:val="center"/>
            <w:tcMar>
              <w:top w:w="85" w:type="dxa"/>
              <w:left w:w="100" w:type="dxa"/>
              <w:bottom w:w="85" w:type="dxa"/>
              <w:right w:w="100" w:type="dxa"/>
            </w:tcMar>
            <w:shd w:fill="F2F5F7"/>
          </w:tcPr>
          <w:p>
            <w:pPr>
              <w:spacing w:line="247" w:lineRule="auto" w:after="0"/>
              <w:jc w:val="center"/>
            </w:pPr>
            <w:r>
              <w:rPr>
                <w:sz w:val="19"/>
              </w:rPr>
              <w:t>0 of 8</w:t>
            </w:r>
          </w:p>
        </w:tc>
      </w:tr>
      <w:tr>
        <w:trPr>
          <w:cantSplit/>
        </w:trPr>
        <w:tc>
          <w:tcPr>
            <w:tcW w:type="dxa" w:w="2736"/>
            <w:vAlign w:val="center"/>
            <w:tcMar>
              <w:top w:w="85" w:type="dxa"/>
              <w:left w:w="100" w:type="dxa"/>
              <w:bottom w:w="85" w:type="dxa"/>
              <w:right w:w="100" w:type="dxa"/>
            </w:tcMar>
            <w:shd w:fill="FFFFFF"/>
          </w:tcPr>
          <w:p>
            <w:pPr>
              <w:spacing w:line="247" w:lineRule="auto" w:after="0"/>
            </w:pPr>
            <w:r>
              <w:rPr>
                <w:sz w:val="19"/>
              </w:rPr>
              <w:t>Shallow seed 1</w:t>
            </w:r>
          </w:p>
        </w:tc>
        <w:tc>
          <w:tcPr>
            <w:tcW w:type="dxa" w:w="2448"/>
            <w:vAlign w:val="center"/>
            <w:tcMar>
              <w:top w:w="85" w:type="dxa"/>
              <w:left w:w="100" w:type="dxa"/>
              <w:bottom w:w="85" w:type="dxa"/>
              <w:right w:w="100" w:type="dxa"/>
            </w:tcMar>
            <w:shd w:fill="FFFFFF"/>
          </w:tcPr>
          <w:p>
            <w:pPr>
              <w:spacing w:line="247" w:lineRule="auto" w:after="0"/>
              <w:jc w:val="center"/>
            </w:pPr>
            <w:r>
              <w:rPr>
                <w:sz w:val="19"/>
              </w:rPr>
              <w:t>6 of 16</w:t>
            </w:r>
          </w:p>
        </w:tc>
        <w:tc>
          <w:tcPr>
            <w:tcW w:type="dxa" w:w="2448"/>
            <w:vAlign w:val="center"/>
            <w:tcMar>
              <w:top w:w="85" w:type="dxa"/>
              <w:left w:w="100" w:type="dxa"/>
              <w:bottom w:w="85" w:type="dxa"/>
              <w:right w:w="100" w:type="dxa"/>
            </w:tcMar>
            <w:shd w:fill="FFFFFF"/>
          </w:tcPr>
          <w:p>
            <w:pPr>
              <w:spacing w:line="247" w:lineRule="auto" w:after="0"/>
              <w:jc w:val="center"/>
            </w:pPr>
            <w:r>
              <w:rPr>
                <w:sz w:val="19"/>
              </w:rPr>
              <w:t>0 of 16</w:t>
            </w:r>
          </w:p>
        </w:tc>
        <w:tc>
          <w:tcPr>
            <w:tcW w:type="dxa" w:w="2448"/>
            <w:vAlign w:val="center"/>
            <w:tcMar>
              <w:top w:w="85" w:type="dxa"/>
              <w:left w:w="100" w:type="dxa"/>
              <w:bottom w:w="85" w:type="dxa"/>
              <w:right w:w="100" w:type="dxa"/>
            </w:tcMar>
            <w:shd w:fill="FFFFFF"/>
          </w:tcPr>
          <w:p>
            <w:pPr>
              <w:spacing w:line="247" w:lineRule="auto" w:after="0"/>
              <w:jc w:val="center"/>
            </w:pPr>
            <w:r>
              <w:rPr>
                <w:sz w:val="19"/>
              </w:rPr>
              <w:t>0 of 8</w:t>
            </w:r>
          </w:p>
        </w:tc>
      </w:tr>
      <w:tr>
        <w:trPr>
          <w:cantSplit/>
        </w:trPr>
        <w:tc>
          <w:tcPr>
            <w:tcW w:type="dxa" w:w="2736"/>
            <w:vAlign w:val="center"/>
            <w:tcMar>
              <w:top w:w="85" w:type="dxa"/>
              <w:left w:w="100" w:type="dxa"/>
              <w:bottom w:w="85" w:type="dxa"/>
              <w:right w:w="100" w:type="dxa"/>
            </w:tcMar>
            <w:shd w:fill="F2F5F7"/>
          </w:tcPr>
          <w:p>
            <w:pPr>
              <w:spacing w:line="247" w:lineRule="auto" w:after="0"/>
            </w:pPr>
            <w:r>
              <w:rPr>
                <w:sz w:val="19"/>
              </w:rPr>
              <w:t>Deep seed 1</w:t>
            </w:r>
          </w:p>
        </w:tc>
        <w:tc>
          <w:tcPr>
            <w:tcW w:type="dxa" w:w="2448"/>
            <w:vAlign w:val="center"/>
            <w:tcMar>
              <w:top w:w="85" w:type="dxa"/>
              <w:left w:w="100" w:type="dxa"/>
              <w:bottom w:w="85" w:type="dxa"/>
              <w:right w:w="100" w:type="dxa"/>
            </w:tcMar>
            <w:shd w:fill="F2F5F7"/>
          </w:tcPr>
          <w:p>
            <w:pPr>
              <w:spacing w:line="247" w:lineRule="auto" w:after="0"/>
              <w:jc w:val="center"/>
            </w:pPr>
            <w:r>
              <w:rPr>
                <w:sz w:val="19"/>
              </w:rPr>
              <w:t>6 of 16</w:t>
            </w:r>
          </w:p>
        </w:tc>
        <w:tc>
          <w:tcPr>
            <w:tcW w:type="dxa" w:w="2448"/>
            <w:vAlign w:val="center"/>
            <w:tcMar>
              <w:top w:w="85" w:type="dxa"/>
              <w:left w:w="100" w:type="dxa"/>
              <w:bottom w:w="85" w:type="dxa"/>
              <w:right w:w="100" w:type="dxa"/>
            </w:tcMar>
            <w:shd w:fill="F2F5F7"/>
          </w:tcPr>
          <w:p>
            <w:pPr>
              <w:spacing w:line="247" w:lineRule="auto" w:after="0"/>
              <w:jc w:val="center"/>
            </w:pPr>
            <w:r>
              <w:rPr>
                <w:sz w:val="19"/>
              </w:rPr>
              <w:t>0 of 16</w:t>
            </w:r>
          </w:p>
        </w:tc>
        <w:tc>
          <w:tcPr>
            <w:tcW w:type="dxa" w:w="2448"/>
            <w:vAlign w:val="center"/>
            <w:tcMar>
              <w:top w:w="85" w:type="dxa"/>
              <w:left w:w="100" w:type="dxa"/>
              <w:bottom w:w="85" w:type="dxa"/>
              <w:right w:w="100" w:type="dxa"/>
            </w:tcMar>
            <w:shd w:fill="F2F5F7"/>
          </w:tcPr>
          <w:p>
            <w:pPr>
              <w:spacing w:line="247" w:lineRule="auto" w:after="0"/>
              <w:jc w:val="center"/>
            </w:pPr>
            <w:r>
              <w:rPr>
                <w:sz w:val="19"/>
              </w:rPr>
              <w:t>0 of 8</w:t>
            </w:r>
          </w:p>
        </w:tc>
      </w:tr>
    </w:tbl>
    <w:p>
      <w:pPr>
        <w:spacing w:after="0"/>
      </w:pPr>
    </w:p>
    <w:p>
      <w:r>
        <w:t>The primary paired verdict is inconclusive: the deep-minus-shallow difference is zero in both seeds, with no observed transfer benefit. All 64 fresh outputs were mechanically valid. Scoring was recovered from unchanged saved outputs and independently checked without rerunning the models. The panel is consumed. Retain the shallow model as the simpler, faster-training control; this result does not establish that deeper models can never help.</w:t>
      </w:r>
    </w:p>
    <w:p>
      <w:r>
        <w:t>The later coverage test also failed its success criterion: all four endpoints scored zero of eight fresh pairs. TRAIN32 fit was 32/32 and 23/32; original-eight retention was 8/8 and 6/8. Fresh accuracy was 1/16 and 1/16 versus controls 1/16 and 0/16. Full details appear in the implementation order. Reserved numerical-pair exclusion coverage remains unknown.</w:t>
      </w:r>
    </w:p>
    <w:p>
      <w:pPr>
        <w:pStyle w:val="Heading2"/>
      </w:pPr>
      <w:r>
        <w:t>The earlier calculator pilot</w:t>
      </w:r>
    </w:p>
    <w:p>
      <w:r>
        <w:t>Both calculator seeds fitted all 10 training task calls and final answers. On its separate fresh panel, correct task calls were six of 16 and three of 16; final answers were one of 16 and zero of 16; joint call-and-answer success was zero in both seeds. The tool package tied its no-tool baseline at one correct final across 32 seed-by-case outputs. All 104 primary native outputs were nonempty and ended normally.</w:t>
      </w:r>
    </w:p>
    <w:p>
      <w:r>
        <w:t>All nine correct-call trials ended in wrong final answers. Their expected values were absent from the pilot’s training-answer targets, leaving limited target exposure or memorization plausible. These results motivate diagnosis, not a proven copying repair. That panel is also consumed and excluded from positive replay.</w:t>
      </w:r>
    </w:p>
    <w:p>
      <w:pPr>
        <w:pStyle w:val="Heading2"/>
      </w:pPr>
      <w:r>
        <w:t>Historical checks support the same caution</w:t>
      </w:r>
    </w:p>
    <w:p>
      <w:r>
        <w:t>An earlier broader-data comparison fitted practice but scored zero of 32 fresh development problems in both conditions and seeds. Earlier notebook practice scored 24 of 32 and 20 of 32 versus inline 32 of 32; fresh adaptation scored zero of eight. Those results do not isolate retrieval from evidence use or reasoning.</w:t>
      </w:r>
    </w:p>
    <w:p>
      <w:r>
        <w:t>The inference-only creative diagnostic made 40 calls, rescued two of six practice failures and saved two checked experiences, using known answers and zero optimizer updates. It proves neither answer-hidden verification nor learned creativity. Keep the separate older number-puzzle project’s results distinct. The original 10,240-update arithmetic-only proposal remains parked; its qualified examples were used in the shorter calculator pilot.</w:t>
      </w:r>
    </w:p>
    <w:p>
      <w:pPr>
        <w:pStyle w:val="Heading1"/>
        <w:pageBreakBefore/>
      </w:pPr>
      <w:r>
        <w:t>The proposed integrated system</w:t>
      </w:r>
    </w:p>
    <w:p>
      <w:r>
        <w:t>The live path begins with the original English request, current notebook evidence and relevant solved examples. The worker interprets them and may select a calculator action before each of its four core updates. A checker reports whatever support can genuinely be established. Bounded creative sampling may try alternatives when an answer remains unresolved, while the output interface communicates the result and its limits.</w:t>
      </w:r>
    </w:p>
    <w:p>
      <w:r>
        <w:t>The learning path is separate. Supported feedback adds a checked experience. Context reuse comes first. A later candidate adapter would learn from a small amount of feedback while the core remains frozen. Offline consolidation could then integrate useful regularities into a candidate core using replay. Each persistent update needs its own evidence of transfer and retention.</w:t>
      </w:r>
    </w:p>
    <w:p>
      <w:pPr>
        <w:pStyle w:val="Heading2"/>
      </w:pPr>
      <w:r>
        <w:t>Give each kind of information one owner</w:t>
      </w:r>
    </w:p>
    <w:p>
      <w:r>
        <w:t>The English interface must preserve quantities, entities, roles, negation, units and scope. Today’s thin pointwise projection of frozen lexical embeddings is not a contextual parser. That preservation is a design requirement, not an established capability. The eventual own-weights interface remains separate from the approximately nine-million-parameter core comparison.</w:t>
      </w:r>
    </w:p>
    <w:p>
      <w:r>
        <w:t>The notebook owns taught assertions and their corrections. It stores original wording, provenance, scope and version history. Retrieval supplies source records rather than externally calculating the answer. Inferences remain distinct from assertions and depend on the particular source versions that support them.</w:t>
      </w:r>
    </w:p>
    <w:p>
      <w:r>
        <w:t>The worker owns semantic selection and composition. In the calculator protocol, each loop can select an action, receive its result and then advance once. The fourth result can therefore affect the fourth update without a fifth. The host validates and executes restricted arithmetic; it does not select the operation or decide which quantities the word problem means.</w:t>
      </w:r>
    </w:p>
    <w:p>
      <w:r>
        <w:t>The experience store owns checked learning examples. It records the original problem, evidence versions, selected actions, tool outputs and supported outcome. A correct number does not validate an invented explanation. Neither an oracle method-family label nor an oracle expert assignment should be supplied to the live model.</w:t>
      </w:r>
    </w:p>
    <w:p>
      <w:r>
        <w:t>The proposed adapter owns a limited set of rapidly mutable skill parameters. A deployment version consists of a core and its compatible adapter together. Changing the core requires revalidating, replacing or resetting its adapter. The notebook remains authoritative for changing facts even when either component has seen older factual text.</w:t>
      </w:r>
    </w:p>
    <w:p>
      <w:pPr>
        <w:pStyle w:val="Heading2"/>
      </w:pPr>
      <w:r>
        <w:t>Correctness information is an external dependency</w:t>
      </w:r>
    </w:p>
    <w:p>
      <w:r>
        <w:t>In experiments, a controlled oracle can check new queries. In ordinary use, a trusted correction or independently checkable outcome may arrive later or never. The same worker or explorer cannot certify an unlabeled improvement merely by preferring it. Missing evidence should lead to retrieval, clarification or abstention.</w:t>
      </w:r>
    </w:p>
    <w:p>
      <w:r>
        <w:t>Version records, model pairs, data manifests and verification methods. Invalidate caches when their supporting facts change, preserve unique checkpoints and retain rollback. These controls make component interactions interpretable without treating every stored experience as a current fact or every successful retry as a learned skill.</w:t>
      </w:r>
    </w:p>
    <w:p>
      <w:pPr>
        <w:pStyle w:val="Heading1"/>
        <w:pageBreakBefore/>
      </w:pPr>
      <w:r>
        <w:t>English that preserves the problem</w:t>
      </w:r>
    </w:p>
    <w:p>
      <w:r>
        <w:t>English understanding is the first priority, followed by worked examples, feedback and persistent learning. Familiar wording can be fitted while new roles, relations and compositions fail. Neither the depth nor coverage result establishes that the present lexical reader preserves these distinctions.</w:t>
      </w:r>
    </w:p>
    <w:p>
      <w:r>
        <w:t xml:space="preserve">SCAN separates familiar recombination from systematic primitive use. CFQ varies combinations while controlling primitive distributions. COGS shows that strong in-distribution English performance can coexist with weak compositional generalization. These findings motivate controlled comparisons, not a claim that Premonition shares the same internal defect. </w:t>
      </w:r>
      <w:hyperlink ns2:id="rId11">
        <w:r>
          <w:rPr>
            <w:color w:val="245A81"/>
            <w:u w:val="single"/>
          </w:rPr>
          <w:t>[1]</w:t>
        </w:r>
      </w:hyperlink>
      <w:r>
        <w:t xml:space="preserve"> </w:t>
      </w:r>
      <w:hyperlink ns2:id="rId12">
        <w:r>
          <w:rPr>
            <w:color w:val="245A81"/>
            <w:u w:val="single"/>
          </w:rPr>
          <w:t>[2]</w:t>
        </w:r>
      </w:hyperlink>
      <w:r>
        <w:t xml:space="preserve"> </w:t>
      </w:r>
      <w:hyperlink ns2:id="rId13">
        <w:r>
          <w:rPr>
            <w:color w:val="245A81"/>
            <w:u w:val="single"/>
          </w:rPr>
          <w:t>[3]</w:t>
        </w:r>
      </w:hyperlink>
      <w:r/>
    </w:p>
    <w:p>
      <w:pPr>
        <w:pStyle w:val="Heading2"/>
      </w:pPr>
      <w:r>
        <w:t>Remove shortcuts prospectively</w:t>
      </w:r>
    </w:p>
    <w:p>
      <w:r>
        <w:t xml:space="preserve">The earlier calculator pilot associates smaller values with addition and larger values with subtraction, allowing a magnitude shortcut. The completed depth comparison used matched-quantity addition/subtraction pairs, with sibling variants grouped together. All 24 questions passed semantic, arithmetic, literal, token and available question/group exclusion checks; reserved numerical-pair coverage remains unknown. Both-correct pair scores were zero in every endpoint. Matching quantities removes a magnitude cue, not every lexical shortcut or the need for new-wording evidence. </w:t>
      </w:r>
      <w:hyperlink ns2:id="rId14">
        <w:r>
          <w:rPr>
            <w:color w:val="245A81"/>
            <w:u w:val="single"/>
          </w:rPr>
          <w:t>[42]</w:t>
        </w:r>
      </w:hyperlink>
      <w:r/>
    </w:p>
    <w:p>
      <w:r>
        <w:t>A later approved generator could define entities, values, units, operations and composition first, then render several English forms and a lossless canonical form. A deterministic oracle can supply labels and evaluation answers. It must not become a hidden deployed solver. Keep equivalent semantic instances together when splitting data so paraphrases cannot leak answers across boundaries.</w:t>
      </w:r>
    </w:p>
    <w:p>
      <w:pPr>
        <w:pStyle w:val="Heading2"/>
      </w:pPr>
      <w:r>
        <w:t>Locate failures before adding mechanisms</w:t>
      </w:r>
    </w:p>
    <w:p>
      <w:r>
        <w:t>Compare matched meanings through English and, if approved, a supported canonical route. Score the chosen operation, ordered operand bindings and use of the returned result separately. If canonical input works but English fails, investigate semantic preservation. If calls are correct but final answers are wrong, investigate result use and rendering. Internal arithmetic is optional in the tool-assisted design.</w:t>
      </w:r>
    </w:p>
    <w:p>
      <w:r>
        <w:t xml:space="preserve">Intermediate outputs can help only where the interface exposes them. An end-to-end failure does not identify a particular translator, latent computation or decoder defect. Short machine-checkable intermediate supervision is a later option when final targets provide too little signal; moving it into latent-state supervision would be a new reasoning-method proposal. </w:t>
      </w:r>
      <w:hyperlink ns2:id="rId15">
        <w:r>
          <w:rPr>
            <w:color w:val="245A81"/>
            <w:u w:val="single"/>
          </w:rPr>
          <w:t>[7]</w:t>
        </w:r>
      </w:hyperlink>
      <w:r/>
    </w:p>
    <w:p>
      <w:pPr>
        <w:pStyle w:val="Heading2"/>
      </w:pPr>
      <w:r>
        <w:t>Build the own weights English path deliberately</w:t>
      </w:r>
    </w:p>
    <w:p>
      <w:r>
        <w:t>The implemented comparison is original English → frozen lexical embeddings or the same borrowed output transformer’s frozen final causal token states → thin trainable adapter → four-loop reasoner. Exact frozen pre-reader features are cached. The matched LR forks preserve the 4096 parents, full Adam/RNG state and training order, varying only constant LR for 1024 further updates per branch. Six branches remain 32/32 TRAIN at all three checks; seed 1/contextual finishes 24/32 at 0.001 and 29/32 at 0.0001. No fresh evaluation was used. Causal token states see only their prefix; shared weights and caching do not eliminate encoding costs or prove generalization.</w:t>
      </w:r>
    </w:p>
    <w:p>
      <w:r>
        <w:t xml:space="preserve">BabyLM informs later sample-efficient English training; synthetic-story evidence is mixed and setting-specific. Fluency is not comprehension, and small data need not mean low compute. Broader teacher-led English lessons are not yet approved. </w:t>
      </w:r>
      <w:hyperlink ns2:id="rId16">
        <w:r>
          <w:rPr>
            <w:color w:val="245A81"/>
            <w:u w:val="single"/>
          </w:rPr>
          <w:t>[40]</w:t>
        </w:r>
      </w:hyperlink>
      <w:r>
        <w:t xml:space="preserve"> </w:t>
      </w:r>
      <w:hyperlink ns2:id="rId17">
        <w:r>
          <w:rPr>
            <w:color w:val="245A81"/>
            <w:u w:val="single"/>
          </w:rPr>
          <w:t>[41]</w:t>
        </w:r>
      </w:hyperlink>
      <w:r/>
    </w:p>
    <w:p>
      <w:r>
        <w:t xml:space="preserve">Vary names, superficial wording, operand positions and supported compositions while retaining easier cases. If internal arithmetic remains useful, representation and format are targeted numerical questions. Abacus and arithmetic robustness work support that distinction; neither establishes natural-language reasoning. </w:t>
      </w:r>
      <w:hyperlink ns2:id="rId18">
        <w:r>
          <w:rPr>
            <w:color w:val="245A81"/>
            <w:u w:val="single"/>
          </w:rPr>
          <w:t>[4]</w:t>
        </w:r>
      </w:hyperlink>
      <w:r>
        <w:t xml:space="preserve"> </w:t>
      </w:r>
      <w:hyperlink ns2:id="rId19">
        <w:r>
          <w:rPr>
            <w:color w:val="245A81"/>
            <w:u w:val="single"/>
          </w:rPr>
          <w:t>[5]</w:t>
        </w:r>
      </w:hyperlink>
      <w:r/>
    </w:p>
    <w:p>
      <w:pPr>
        <w:pStyle w:val="Heading1"/>
        <w:pageBreakBefore/>
      </w:pPr>
      <w:r>
        <w:t>Calculator use chosen by the reasoner</w:t>
      </w:r>
    </w:p>
    <w:p>
      <w:r>
        <w:t>The implemented calculator protocol leaves semantic interpretation with the reasoner and exact execution with a restricted tool. The earlier calculator pilot’s checked native results fit all training task calls and answers but fail the fresh joint check in both seeds. Some calls are correct while final outputs are wrong; other problems fail at call selection. Keep those defects separate.</w:t>
      </w:r>
    </w:p>
    <w:p>
      <w:pPr>
        <w:pStyle w:val="Heading2"/>
      </w:pPr>
      <w:r>
        <w:t>A bounded call and return protocol</w:t>
      </w:r>
    </w:p>
    <w:p>
      <w:r>
        <w:t>On every loop, the reasoner chooses no call or emits a typed request with an allowed operation, ordered operand references and a call identifier. At most one call is permitted per loop, giving four possible calls in total. The host validates the request and returns an exact result or structured error. The initial domain supports addition and subtraction with supported two-digit, single-token results. Broader operations remain future work; arbitrary code execution is unnecessary.</w:t>
      </w:r>
    </w:p>
    <w:p>
      <w:r>
        <w:t>The reasoner must choose subtraction for “Mira has 18 counters and gives away 7” and bind the operands in order. A mechanical registry may locate numeric literals and offsets, but must not choose their semantic roles. Pointers can also select earlier successful results. Future, no-call and error slots are masked out. Results retain their identity and provenance.</w:t>
      </w:r>
    </w:p>
    <w:p>
      <w:pPr>
        <w:pStyle w:val="Heading2"/>
      </w:pPr>
      <w:r>
        <w:t>Learn selection and use of results</w:t>
      </w:r>
    </w:p>
    <w:p>
      <w:r>
        <w:t>Shared heads choose the action and ordered operand pointers. Training and evaluation execute predicted calls without gold-result injection. Initial checked supervision requests the correct calculation until it succeeds, then targets no call. That success flag forms training labels but is not fed to the model. Final-answer loss and averaged call cross-entropy train result use and selection. This arithmetic curriculum establishes neither multi-step composition nor general competence at deciding when tools are unnecessary.</w:t>
      </w:r>
    </w:p>
    <w:p>
      <w:r>
        <w:t xml:space="preserve">Toolformer and TALM support learning API selection, arguments and result use. Their results do not establish those abilities for this core. Evaluate call validity, semantic choice, final accuracy, unnecessary calls and latency separately. An exact calculator verifies arithmetic execution, not the English interpretation. </w:t>
      </w:r>
      <w:hyperlink ns2:id="rId20">
        <w:r>
          <w:rPr>
            <w:color w:val="245A81"/>
            <w:u w:val="single"/>
          </w:rPr>
          <w:t>[29]</w:t>
        </w:r>
      </w:hyperlink>
      <w:r>
        <w:t xml:space="preserve"> </w:t>
      </w:r>
      <w:hyperlink ns2:id="rId21">
        <w:r>
          <w:rPr>
            <w:color w:val="245A81"/>
            <w:u w:val="single"/>
          </w:rPr>
          <w:t>[30]</w:t>
        </w:r>
      </w:hyperlink>
      <w:r/>
    </w:p>
    <w:p>
      <w:pPr>
        <w:pStyle w:val="Heading2"/>
      </w:pPr>
      <w:r>
        <w:t>Preserve four updates while testing timing</w:t>
      </w:r>
    </w:p>
    <w:p>
      <w:r>
        <w:t>Four value-and-status pairs are reserved at initialization. Each loop selects an optional call from current state and input features, writes its result, then advances once. The fourth result is consumed by update 4 before answer decoding. Original input states and query indices are preserved, with matched result capacity in controls.</w:t>
      </w:r>
    </w:p>
    <w:p>
      <w:r>
        <w:t>The first policy has weaker context: it reads initialized state plus input features before any core advance. Mean-pooled lexical features may lose word-order information, although later attention contextualizes the states. Early supervised success would therefore not prove mature semantic reasoning at the first decision.</w:t>
      </w:r>
    </w:p>
    <w:p>
      <w:r>
        <w:t>If recorded errors show premature selection, a later approved timing comparison could place the tool opportunity between contextualizing and result-assimilating blocks within each advance, preserving total block visits. Another option is better supervision for deferral. Neither changes the frozen pilot automatically. Distinct-operand restrictions from a narrow pilot should also not become universal: reusing an operand can be valid in general arithmetic.</w:t>
      </w:r>
    </w:p>
    <w:p>
      <w:pPr>
        <w:pStyle w:val="Heading1"/>
        <w:pageBreakBefore/>
      </w:pPr>
      <w:r>
        <w:t>A ranked plan for rapid skill learning</w:t>
      </w:r>
    </w:p>
    <w:p>
      <w:r>
        <w:t>The immediate objective is learning from a small amount of trustworthy experience with transfer and retention. Episodic meta-learning is a training regime that can prepare a mechanism for rapid adaptation. It does not remove the need for useful representations, varied prior training or reliable feedback.</w:t>
      </w:r>
    </w:p>
    <w:p>
      <w:pPr>
        <w:pStyle w:val="Heading2"/>
      </w:pPr>
      <w:r>
        <w:t>First teach and measure learning from context</w:t>
      </w:r>
    </w:p>
    <w:p>
      <w:r>
        <w:t xml:space="preserve">Train short episodes in which demonstrations or feedback change what the worker should do on a new query. Reuse relevant solved experiences alongside current notebook facts. Compare with ordinary training on matched instances and inference budgets. The model must infer relevance from examples rather than receive an oracle method-family label. Meta-Learning for Compositionality motivates this direction but does not establish unrestricted learning. </w:t>
      </w:r>
      <w:hyperlink ns2:id="rId22">
        <w:r>
          <w:rPr>
            <w:color w:val="245A81"/>
            <w:u w:val="single"/>
          </w:rPr>
          <w:t>[6]</w:t>
        </w:r>
      </w:hyperlink>
      <w:r/>
    </w:p>
    <w:p>
      <w:r>
        <w:t>Use an episodically trained context-only worker as the strong baseline. Merely placing examples in a prompt does not demonstrate that the model learned to use them. Evaluate a fresh query, clear temporary context and revisit an earlier skill after intervening learning. Report contextual improvement separately from persistent skill acquisition.</w:t>
      </w:r>
    </w:p>
    <w:p>
      <w:pPr>
        <w:pStyle w:val="Heading2"/>
      </w:pPr>
      <w:r>
        <w:t>Then test one small ungated adapter</w:t>
      </w:r>
    </w:p>
    <w:p>
      <w:r>
        <w:t>The highest-ranked additional mechanism is a tiny residual adapter trained offline so a few feedback-driven updates are useful. Freeze the core during acquisition and update only the small component on supported examples. Clone the candidate state, retain rollback and choose an attachment point that can influence the intended behavior. A final-output-only head might learn answer associations without improving operation selection.</w:t>
      </w:r>
    </w:p>
    <w:p>
      <w:r>
        <w:t xml:space="preserve">MAML and OML support learning representations or initialization for adaptation. Their results do not establish arbitrary method acquisition. OML’s official repository reports that correcting meta-gradients allowed a simple prediction head to match its ANML comparison without neuromodulation. That author-reported correction makes an ungated baseline essential. </w:t>
      </w:r>
      <w:hyperlink ns2:id="rId23">
        <w:r>
          <w:rPr>
            <w:color w:val="245A81"/>
            <w:u w:val="single"/>
          </w:rPr>
          <w:t>[33]</w:t>
        </w:r>
      </w:hyperlink>
      <w:r>
        <w:t xml:space="preserve"> </w:t>
      </w:r>
      <w:hyperlink ns2:id="rId24">
        <w:r>
          <w:rPr>
            <w:color w:val="245A81"/>
            <w:u w:val="single"/>
          </w:rPr>
          <w:t>[34]</w:t>
        </w:r>
      </w:hyperlink>
      <w:r/>
    </w:p>
    <w:p>
      <w:r>
        <w:t>The decisive comparison is the same episodically trained core, evidence and tool access with versus without the adapter. Require fresh-query transfer and retention, not merely support-example fitting. Any feedback used to select an update is selection information, not untouched final evidence. In ordinary use, trusted answers to new queries may be unavailable; the learner cannot certify itself.</w:t>
      </w:r>
    </w:p>
    <w:p>
      <w:pPr>
        <w:pStyle w:val="Heading2"/>
      </w:pPr>
      <w:r>
        <w:t>Keep gating and fast weights conditional</w:t>
      </w:r>
    </w:p>
    <w:p>
      <w:r>
        <w:t xml:space="preserve">Input-conditioned plasticity gating is a later addition only if the ungated adapter works and interference identifies a need. ANML’s relevant evidence is classification, with broader transfer unresolved. Expert sparsity alone does not provide safe plasticity or identify skills. </w:t>
      </w:r>
      <w:hyperlink ns2:id="rId25">
        <w:r>
          <w:rPr>
            <w:color w:val="245A81"/>
            <w:u w:val="single"/>
          </w:rPr>
          <w:t>[35]</w:t>
        </w:r>
      </w:hyperlink>
      <w:r/>
    </w:p>
    <w:p>
      <w:r>
        <w:t xml:space="preserve">An error-correcting fast-weight matrix is a lower-ranked alternative if binding or temporary-memory errors dominate. It can revise key–value associations quickly, but correlated keys and finite capacity cause interference. Such weights may be sequence state, as TTT explicitly treats them, rather than a lasting skill. A saved matrix still needs transfer and clean-restart evidence before earning a learning claim. </w:t>
      </w:r>
      <w:hyperlink ns2:id="rId26">
        <w:r>
          <w:rPr>
            <w:color w:val="245A81"/>
            <w:u w:val="single"/>
          </w:rPr>
          <w:t>[36]</w:t>
        </w:r>
      </w:hyperlink>
      <w:r>
        <w:t xml:space="preserve"> </w:t>
      </w:r>
      <w:hyperlink ns2:id="rId27">
        <w:r>
          <w:rPr>
            <w:color w:val="245A81"/>
            <w:u w:val="single"/>
          </w:rPr>
          <w:t>[37]</w:t>
        </w:r>
      </w:hyperlink>
      <w:r/>
    </w:p>
    <w:p>
      <w:r>
        <w:t>These are proposed architectural experiments awaiting approval. Keep the deep sparse topology fixed or exclude it from the initial adaptation comparison, so a gain can be attributed to the learning mechanism. No large task grid or arbitrary demonstration count is adopted here.</w:t>
      </w:r>
    </w:p>
    <w:p>
      <w:pPr>
        <w:pStyle w:val="Heading1"/>
        <w:pageBreakBefore/>
      </w:pPr>
      <w:r>
        <w:t>Sparse depth and response costs</w:t>
      </w:r>
    </w:p>
    <w:p>
      <w:r>
        <w:t>The completed depth comparison changed the allocation of approximately the same total parameter budget. The baseline already had eight experts with top-two routing. CPU construction confirms the counts below. Both architectures fitted training cases but scored zero of eight fresh pairs in each seed. No transfer benefit from depth was observed.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320"/>
        <w:gridCol w:w="2880"/>
        <w:gridCol w:w="2880"/>
      </w:tblGrid>
      <w:tr>
        <w:trPr>
          <w:cantSplit/>
          <w:tblHeader/>
        </w:trPr>
        <w:tc>
          <w:tcPr>
            <w:tcW w:type="dxa" w:w="4320"/>
            <w:vAlign w:val="center"/>
            <w:tcMar>
              <w:top w:w="85" w:type="dxa"/>
              <w:left w:w="100" w:type="dxa"/>
              <w:bottom w:w="85" w:type="dxa"/>
              <w:right w:w="100" w:type="dxa"/>
            </w:tcMar>
            <w:shd w:fill="263B4D"/>
          </w:tcPr>
          <w:p>
            <w:pPr>
              <w:spacing w:line="247" w:lineRule="auto" w:after="0"/>
            </w:pPr>
            <w:r>
              <w:rPr>
                <w:b/>
                <w:color w:val="FFFFFF"/>
                <w:sz w:val="19"/>
              </w:rPr>
              <w:t>Constructed core metric</w:t>
            </w:r>
          </w:p>
        </w:tc>
        <w:tc>
          <w:tcPr>
            <w:tcW w:type="dxa" w:w="2880"/>
            <w:vAlign w:val="center"/>
            <w:tcMar>
              <w:top w:w="85" w:type="dxa"/>
              <w:left w:w="100" w:type="dxa"/>
              <w:bottom w:w="85" w:type="dxa"/>
              <w:right w:w="100" w:type="dxa"/>
            </w:tcMar>
            <w:shd w:fill="263B4D"/>
          </w:tcPr>
          <w:p>
            <w:pPr>
              <w:spacing w:line="247" w:lineRule="auto" w:after="0"/>
              <w:jc w:val="center"/>
            </w:pPr>
            <w:r>
              <w:rPr>
                <w:b/>
                <w:color w:val="FFFFFF"/>
                <w:sz w:val="19"/>
              </w:rPr>
              <w:t>Baseline</w:t>
            </w:r>
          </w:p>
        </w:tc>
        <w:tc>
          <w:tcPr>
            <w:tcW w:type="dxa" w:w="2880"/>
            <w:vAlign w:val="center"/>
            <w:tcMar>
              <w:top w:w="85" w:type="dxa"/>
              <w:left w:w="100" w:type="dxa"/>
              <w:bottom w:w="85" w:type="dxa"/>
              <w:right w:w="100" w:type="dxa"/>
            </w:tcMar>
            <w:shd w:fill="263B4D"/>
          </w:tcPr>
          <w:p>
            <w:pPr>
              <w:spacing w:line="247" w:lineRule="auto" w:after="0"/>
              <w:jc w:val="center"/>
            </w:pPr>
            <w:r>
              <w:rPr>
                <w:b/>
                <w:color w:val="FFFFFF"/>
                <w:sz w:val="19"/>
              </w:rPr>
              <w:t>Deeper candidate</w:t>
            </w:r>
          </w:p>
        </w:tc>
      </w:tr>
      <w:tr>
        <w:trPr>
          <w:cantSplit/>
        </w:trPr>
        <w:tc>
          <w:tcPr>
            <w:tcW w:type="dxa" w:w="4320"/>
            <w:vAlign w:val="center"/>
            <w:tcMar>
              <w:top w:w="85" w:type="dxa"/>
              <w:left w:w="100" w:type="dxa"/>
              <w:bottom w:w="85" w:type="dxa"/>
              <w:right w:w="100" w:type="dxa"/>
            </w:tcMar>
            <w:shd w:fill="FFFFFF"/>
          </w:tcPr>
          <w:p>
            <w:pPr>
              <w:spacing w:line="247" w:lineRule="auto" w:after="0"/>
            </w:pPr>
            <w:r>
              <w:rPr>
                <w:sz w:val="19"/>
              </w:rPr>
              <w:t>State width</w:t>
            </w:r>
          </w:p>
        </w:tc>
        <w:tc>
          <w:tcPr>
            <w:tcW w:type="dxa" w:w="2880"/>
            <w:vAlign w:val="center"/>
            <w:tcMar>
              <w:top w:w="85" w:type="dxa"/>
              <w:left w:w="100" w:type="dxa"/>
              <w:bottom w:w="85" w:type="dxa"/>
              <w:right w:w="100" w:type="dxa"/>
            </w:tcMar>
            <w:shd w:fill="FFFFFF"/>
          </w:tcPr>
          <w:p>
            <w:pPr>
              <w:spacing w:line="247" w:lineRule="auto" w:after="0"/>
              <w:jc w:val="center"/>
            </w:pPr>
            <w:r>
              <w:rPr>
                <w:sz w:val="19"/>
              </w:rPr>
              <w:t>256</w:t>
            </w:r>
          </w:p>
        </w:tc>
        <w:tc>
          <w:tcPr>
            <w:tcW w:type="dxa" w:w="2880"/>
            <w:vAlign w:val="center"/>
            <w:tcMar>
              <w:top w:w="85" w:type="dxa"/>
              <w:left w:w="100" w:type="dxa"/>
              <w:bottom w:w="85" w:type="dxa"/>
              <w:right w:w="100" w:type="dxa"/>
            </w:tcMar>
            <w:shd w:fill="FFFFFF"/>
          </w:tcPr>
          <w:p>
            <w:pPr>
              <w:spacing w:line="247" w:lineRule="auto" w:after="0"/>
              <w:jc w:val="center"/>
            </w:pPr>
            <w:r>
              <w:rPr>
                <w:sz w:val="19"/>
              </w:rPr>
              <w:t>256</w:t>
            </w:r>
          </w:p>
        </w:tc>
      </w:tr>
      <w:tr>
        <w:trPr>
          <w:cantSplit/>
        </w:trPr>
        <w:tc>
          <w:tcPr>
            <w:tcW w:type="dxa" w:w="4320"/>
            <w:vAlign w:val="center"/>
            <w:tcMar>
              <w:top w:w="85" w:type="dxa"/>
              <w:left w:w="100" w:type="dxa"/>
              <w:bottom w:w="85" w:type="dxa"/>
              <w:right w:w="100" w:type="dxa"/>
            </w:tcMar>
            <w:shd w:fill="F2F5F7"/>
          </w:tcPr>
          <w:p>
            <w:pPr>
              <w:spacing w:line="247" w:lineRule="auto" w:after="0"/>
            </w:pPr>
            <w:r>
              <w:rPr>
                <w:sz w:val="19"/>
              </w:rPr>
              <w:t>Distinct blocks in shared stack</w:t>
            </w:r>
          </w:p>
        </w:tc>
        <w:tc>
          <w:tcPr>
            <w:tcW w:type="dxa" w:w="2880"/>
            <w:vAlign w:val="center"/>
            <w:tcMar>
              <w:top w:w="85" w:type="dxa"/>
              <w:left w:w="100" w:type="dxa"/>
              <w:bottom w:w="85" w:type="dxa"/>
              <w:right w:w="100" w:type="dxa"/>
            </w:tcMar>
            <w:shd w:fill="F2F5F7"/>
          </w:tcPr>
          <w:p>
            <w:pPr>
              <w:spacing w:line="247" w:lineRule="auto" w:after="0"/>
              <w:jc w:val="center"/>
            </w:pPr>
            <w:r>
              <w:rPr>
                <w:sz w:val="19"/>
              </w:rPr>
              <w:t>2</w:t>
            </w:r>
          </w:p>
        </w:tc>
        <w:tc>
          <w:tcPr>
            <w:tcW w:type="dxa" w:w="2880"/>
            <w:vAlign w:val="center"/>
            <w:tcMar>
              <w:top w:w="85" w:type="dxa"/>
              <w:left w:w="100" w:type="dxa"/>
              <w:bottom w:w="85" w:type="dxa"/>
              <w:right w:w="100" w:type="dxa"/>
            </w:tcMar>
            <w:shd w:fill="F2F5F7"/>
          </w:tcPr>
          <w:p>
            <w:pPr>
              <w:spacing w:line="247" w:lineRule="auto" w:after="0"/>
              <w:jc w:val="center"/>
            </w:pPr>
            <w:r>
              <w:rPr>
                <w:sz w:val="19"/>
              </w:rPr>
              <w:t>16</w:t>
            </w:r>
          </w:p>
        </w:tc>
      </w:tr>
      <w:tr>
        <w:trPr>
          <w:cantSplit/>
        </w:trPr>
        <w:tc>
          <w:tcPr>
            <w:tcW w:type="dxa" w:w="4320"/>
            <w:vAlign w:val="center"/>
            <w:tcMar>
              <w:top w:w="85" w:type="dxa"/>
              <w:left w:w="100" w:type="dxa"/>
              <w:bottom w:w="85" w:type="dxa"/>
              <w:right w:w="100" w:type="dxa"/>
            </w:tcMar>
            <w:shd w:fill="FFFFFF"/>
          </w:tcPr>
          <w:p>
            <w:pPr>
              <w:spacing w:line="247" w:lineRule="auto" w:after="0"/>
            </w:pPr>
            <w:r>
              <w:rPr>
                <w:sz w:val="19"/>
              </w:rPr>
              <w:t>Experts per block and routing</w:t>
            </w:r>
          </w:p>
        </w:tc>
        <w:tc>
          <w:tcPr>
            <w:tcW w:type="dxa" w:w="2880"/>
            <w:vAlign w:val="center"/>
            <w:tcMar>
              <w:top w:w="85" w:type="dxa"/>
              <w:left w:w="100" w:type="dxa"/>
              <w:bottom w:w="85" w:type="dxa"/>
              <w:right w:w="100" w:type="dxa"/>
            </w:tcMar>
            <w:shd w:fill="FFFFFF"/>
          </w:tcPr>
          <w:p>
            <w:pPr>
              <w:spacing w:line="247" w:lineRule="auto" w:after="0"/>
              <w:jc w:val="center"/>
            </w:pPr>
            <w:r>
              <w:rPr>
                <w:sz w:val="19"/>
              </w:rPr>
              <w:t>8 experts with top 2</w:t>
            </w:r>
          </w:p>
        </w:tc>
        <w:tc>
          <w:tcPr>
            <w:tcW w:type="dxa" w:w="2880"/>
            <w:vAlign w:val="center"/>
            <w:tcMar>
              <w:top w:w="85" w:type="dxa"/>
              <w:left w:w="100" w:type="dxa"/>
              <w:bottom w:w="85" w:type="dxa"/>
              <w:right w:w="100" w:type="dxa"/>
            </w:tcMar>
            <w:shd w:fill="FFFFFF"/>
          </w:tcPr>
          <w:p>
            <w:pPr>
              <w:spacing w:line="247" w:lineRule="auto" w:after="0"/>
              <w:jc w:val="center"/>
            </w:pPr>
            <w:r>
              <w:rPr>
                <w:sz w:val="19"/>
              </w:rPr>
              <w:t>8 experts with top 2</w:t>
            </w:r>
          </w:p>
        </w:tc>
      </w:tr>
      <w:tr>
        <w:trPr>
          <w:cantSplit/>
        </w:trPr>
        <w:tc>
          <w:tcPr>
            <w:tcW w:type="dxa" w:w="4320"/>
            <w:vAlign w:val="center"/>
            <w:tcMar>
              <w:top w:w="85" w:type="dxa"/>
              <w:left w:w="100" w:type="dxa"/>
              <w:bottom w:w="85" w:type="dxa"/>
              <w:right w:w="100" w:type="dxa"/>
            </w:tcMar>
            <w:shd w:fill="F2F5F7"/>
          </w:tcPr>
          <w:p>
            <w:pPr>
              <w:spacing w:line="247" w:lineRule="auto" w:after="0"/>
            </w:pPr>
            <w:r>
              <w:rPr>
                <w:sz w:val="19"/>
              </w:rPr>
              <w:t>Expert interior width</w:t>
            </w:r>
          </w:p>
        </w:tc>
        <w:tc>
          <w:tcPr>
            <w:tcW w:type="dxa" w:w="2880"/>
            <w:vAlign w:val="center"/>
            <w:tcMar>
              <w:top w:w="85" w:type="dxa"/>
              <w:left w:w="100" w:type="dxa"/>
              <w:bottom w:w="85" w:type="dxa"/>
              <w:right w:w="100" w:type="dxa"/>
            </w:tcMar>
            <w:shd w:fill="F2F5F7"/>
          </w:tcPr>
          <w:p>
            <w:pPr>
              <w:spacing w:line="247" w:lineRule="auto" w:after="0"/>
              <w:jc w:val="center"/>
            </w:pPr>
            <w:r>
              <w:rPr>
                <w:sz w:val="19"/>
              </w:rPr>
              <w:t>1,024</w:t>
            </w:r>
          </w:p>
        </w:tc>
        <w:tc>
          <w:tcPr>
            <w:tcW w:type="dxa" w:w="2880"/>
            <w:vAlign w:val="center"/>
            <w:tcMar>
              <w:top w:w="85" w:type="dxa"/>
              <w:left w:w="100" w:type="dxa"/>
              <w:bottom w:w="85" w:type="dxa"/>
              <w:right w:w="100" w:type="dxa"/>
            </w:tcMar>
            <w:shd w:fill="F2F5F7"/>
          </w:tcPr>
          <w:p>
            <w:pPr>
              <w:spacing w:line="247" w:lineRule="auto" w:after="0"/>
              <w:jc w:val="center"/>
            </w:pPr>
            <w:r>
              <w:rPr>
                <w:sz w:val="19"/>
              </w:rPr>
              <w:t>64</w:t>
            </w:r>
          </w:p>
        </w:tc>
      </w:tr>
      <w:tr>
        <w:trPr>
          <w:cantSplit/>
        </w:trPr>
        <w:tc>
          <w:tcPr>
            <w:tcW w:type="dxa" w:w="4320"/>
            <w:vAlign w:val="center"/>
            <w:tcMar>
              <w:top w:w="85" w:type="dxa"/>
              <w:left w:w="100" w:type="dxa"/>
              <w:bottom w:w="85" w:type="dxa"/>
              <w:right w:w="100" w:type="dxa"/>
            </w:tcMar>
            <w:shd w:fill="FFFFFF"/>
          </w:tcPr>
          <w:p>
            <w:pPr>
              <w:spacing w:line="247" w:lineRule="auto" w:after="0"/>
            </w:pPr>
            <w:r>
              <w:rPr>
                <w:sz w:val="19"/>
              </w:rPr>
              <w:t>Total parameters</w:t>
            </w:r>
          </w:p>
        </w:tc>
        <w:tc>
          <w:tcPr>
            <w:tcW w:type="dxa" w:w="2880"/>
            <w:vAlign w:val="center"/>
            <w:tcMar>
              <w:top w:w="85" w:type="dxa"/>
              <w:left w:w="100" w:type="dxa"/>
              <w:bottom w:w="85" w:type="dxa"/>
              <w:right w:w="100" w:type="dxa"/>
            </w:tcMar>
            <w:shd w:fill="FFFFFF"/>
          </w:tcPr>
          <w:p>
            <w:pPr>
              <w:spacing w:line="247" w:lineRule="auto" w:after="0"/>
              <w:jc w:val="center"/>
            </w:pPr>
            <w:r>
              <w:rPr>
                <w:sz w:val="19"/>
              </w:rPr>
              <w:t>9,007,790</w:t>
            </w:r>
          </w:p>
        </w:tc>
        <w:tc>
          <w:tcPr>
            <w:tcW w:type="dxa" w:w="2880"/>
            <w:vAlign w:val="center"/>
            <w:tcMar>
              <w:top w:w="85" w:type="dxa"/>
              <w:left w:w="100" w:type="dxa"/>
              <w:bottom w:w="85" w:type="dxa"/>
              <w:right w:w="100" w:type="dxa"/>
            </w:tcMar>
            <w:shd w:fill="FFFFFF"/>
          </w:tcPr>
          <w:p>
            <w:pPr>
              <w:spacing w:line="247" w:lineRule="auto" w:after="0"/>
              <w:jc w:val="center"/>
            </w:pPr>
            <w:r>
              <w:rPr>
                <w:sz w:val="19"/>
              </w:rPr>
              <w:t>8,563,454</w:t>
            </w:r>
          </w:p>
        </w:tc>
      </w:tr>
      <w:tr>
        <w:trPr>
          <w:cantSplit/>
        </w:trPr>
        <w:tc>
          <w:tcPr>
            <w:tcW w:type="dxa" w:w="4320"/>
            <w:vAlign w:val="center"/>
            <w:tcMar>
              <w:top w:w="85" w:type="dxa"/>
              <w:left w:w="100" w:type="dxa"/>
              <w:bottom w:w="85" w:type="dxa"/>
              <w:right w:w="100" w:type="dxa"/>
            </w:tcMar>
            <w:shd w:fill="F2F5F7"/>
          </w:tcPr>
          <w:p>
            <w:pPr>
              <w:spacing w:line="247" w:lineRule="auto" w:after="0"/>
            </w:pPr>
            <w:r>
              <w:rPr>
                <w:sz w:val="19"/>
              </w:rPr>
              <w:t>Trainable parameters</w:t>
            </w:r>
          </w:p>
        </w:tc>
        <w:tc>
          <w:tcPr>
            <w:tcW w:type="dxa" w:w="2880"/>
            <w:vAlign w:val="center"/>
            <w:tcMar>
              <w:top w:w="85" w:type="dxa"/>
              <w:left w:w="100" w:type="dxa"/>
              <w:bottom w:w="85" w:type="dxa"/>
              <w:right w:w="100" w:type="dxa"/>
            </w:tcMar>
            <w:shd w:fill="F2F5F7"/>
          </w:tcPr>
          <w:p>
            <w:pPr>
              <w:spacing w:line="247" w:lineRule="auto" w:after="0"/>
              <w:jc w:val="center"/>
            </w:pPr>
            <w:r>
              <w:rPr>
                <w:sz w:val="19"/>
              </w:rPr>
              <w:t>9,007,533</w:t>
            </w:r>
          </w:p>
        </w:tc>
        <w:tc>
          <w:tcPr>
            <w:tcW w:type="dxa" w:w="2880"/>
            <w:vAlign w:val="center"/>
            <w:tcMar>
              <w:top w:w="85" w:type="dxa"/>
              <w:left w:w="100" w:type="dxa"/>
              <w:bottom w:w="85" w:type="dxa"/>
              <w:right w:w="100" w:type="dxa"/>
            </w:tcMar>
            <w:shd w:fill="F2F5F7"/>
          </w:tcPr>
          <w:p>
            <w:pPr>
              <w:spacing w:line="247" w:lineRule="auto" w:after="0"/>
              <w:jc w:val="center"/>
            </w:pPr>
            <w:r>
              <w:rPr>
                <w:sz w:val="19"/>
              </w:rPr>
              <w:t>8,563,197</w:t>
            </w:r>
          </w:p>
        </w:tc>
      </w:tr>
      <w:tr>
        <w:trPr>
          <w:cantSplit/>
        </w:trPr>
        <w:tc>
          <w:tcPr>
            <w:tcW w:type="dxa" w:w="4320"/>
            <w:vAlign w:val="center"/>
            <w:tcMar>
              <w:top w:w="85" w:type="dxa"/>
              <w:left w:w="100" w:type="dxa"/>
              <w:bottom w:w="85" w:type="dxa"/>
              <w:right w:w="100" w:type="dxa"/>
            </w:tcMar>
            <w:shd w:fill="FFFFFF"/>
          </w:tcPr>
          <w:p>
            <w:pPr>
              <w:spacing w:line="247" w:lineRule="auto" w:after="0"/>
            </w:pPr>
            <w:r>
              <w:rPr>
                <w:sz w:val="19"/>
              </w:rPr>
              <w:t>Active parameter accounting</w:t>
            </w:r>
          </w:p>
        </w:tc>
        <w:tc>
          <w:tcPr>
            <w:tcW w:type="dxa" w:w="2880"/>
            <w:vAlign w:val="center"/>
            <w:tcMar>
              <w:top w:w="85" w:type="dxa"/>
              <w:left w:w="100" w:type="dxa"/>
              <w:bottom w:w="85" w:type="dxa"/>
              <w:right w:w="100" w:type="dxa"/>
            </w:tcMar>
            <w:shd w:fill="FFFFFF"/>
          </w:tcPr>
          <w:p>
            <w:pPr>
              <w:spacing w:line="247" w:lineRule="auto" w:after="0"/>
              <w:jc w:val="center"/>
            </w:pPr>
            <w:r>
              <w:rPr>
                <w:sz w:val="19"/>
              </w:rPr>
              <w:t>2,700,974</w:t>
            </w:r>
          </w:p>
        </w:tc>
        <w:tc>
          <w:tcPr>
            <w:tcW w:type="dxa" w:w="2880"/>
            <w:vAlign w:val="center"/>
            <w:tcMar>
              <w:top w:w="85" w:type="dxa"/>
              <w:left w:w="100" w:type="dxa"/>
              <w:bottom w:w="85" w:type="dxa"/>
              <w:right w:w="100" w:type="dxa"/>
            </w:tcMar>
            <w:shd w:fill="FFFFFF"/>
          </w:tcPr>
          <w:p>
            <w:pPr>
              <w:spacing w:line="247" w:lineRule="auto" w:after="0"/>
              <w:jc w:val="center"/>
            </w:pPr>
            <w:r>
              <w:rPr>
                <w:sz w:val="19"/>
              </w:rPr>
              <w:t>5,387,006</w:t>
            </w:r>
          </w:p>
        </w:tc>
      </w:tr>
      <w:tr>
        <w:trPr>
          <w:cantSplit/>
        </w:trPr>
        <w:tc>
          <w:tcPr>
            <w:tcW w:type="dxa" w:w="4320"/>
            <w:vAlign w:val="center"/>
            <w:tcMar>
              <w:top w:w="85" w:type="dxa"/>
              <w:left w:w="100" w:type="dxa"/>
              <w:bottom w:w="85" w:type="dxa"/>
              <w:right w:w="100" w:type="dxa"/>
            </w:tcMar>
            <w:shd w:fill="F2F5F7"/>
          </w:tcPr>
          <w:p>
            <w:pPr>
              <w:spacing w:line="247" w:lineRule="auto" w:after="0"/>
            </w:pPr>
            <w:r>
              <w:rPr>
                <w:sz w:val="19"/>
              </w:rPr>
              <w:t>Block visits over four loops</w:t>
            </w:r>
          </w:p>
        </w:tc>
        <w:tc>
          <w:tcPr>
            <w:tcW w:type="dxa" w:w="2880"/>
            <w:vAlign w:val="center"/>
            <w:tcMar>
              <w:top w:w="85" w:type="dxa"/>
              <w:left w:w="100" w:type="dxa"/>
              <w:bottom w:w="85" w:type="dxa"/>
              <w:right w:w="100" w:type="dxa"/>
            </w:tcMar>
            <w:shd w:fill="F2F5F7"/>
          </w:tcPr>
          <w:p>
            <w:pPr>
              <w:spacing w:line="247" w:lineRule="auto" w:after="0"/>
              <w:jc w:val="center"/>
            </w:pPr>
            <w:r>
              <w:rPr>
                <w:sz w:val="19"/>
              </w:rPr>
              <w:t>8</w:t>
            </w:r>
          </w:p>
        </w:tc>
        <w:tc>
          <w:tcPr>
            <w:tcW w:type="dxa" w:w="2880"/>
            <w:vAlign w:val="center"/>
            <w:tcMar>
              <w:top w:w="85" w:type="dxa"/>
              <w:left w:w="100" w:type="dxa"/>
              <w:bottom w:w="85" w:type="dxa"/>
              <w:right w:w="100" w:type="dxa"/>
            </w:tcMar>
            <w:shd w:fill="F2F5F7"/>
          </w:tcPr>
          <w:p>
            <w:pPr>
              <w:spacing w:line="247" w:lineRule="auto" w:after="0"/>
              <w:jc w:val="center"/>
            </w:pPr>
            <w:r>
              <w:rPr>
                <w:sz w:val="19"/>
              </w:rPr>
              <w:t>64</w:t>
            </w:r>
          </w:p>
        </w:tc>
      </w:tr>
    </w:tbl>
    <w:p>
      <w:pPr>
        <w:spacing w:after="0"/>
      </w:pPr>
    </w:p>
    <w:p>
      <w:r>
        <w:t>The candidate has 4.932797 percent fewer total parameters. Its 16 distinct blocks are reused as the same stack across four outer loops, giving 64 block visits versus the baseline’s eight. Active-parameter accounting is not FLOPs, peak memory or latency. It can rise while total stored parameters fall. The code dispatches only selected experts, but that does not eliminate attention, routing, activation or sequential-depth costs.</w:t>
      </w:r>
    </w:p>
    <w:p>
      <w:pPr>
        <w:pStyle w:val="Heading2"/>
      </w:pPr>
      <w:r>
        <w:t>Make the depth comparison interpretable</w:t>
      </w:r>
    </w:p>
    <w:p>
      <w:r>
        <w:t>Both arms used fresh cores, common pretrained English interfaces, matched initial tool components and reset optimizers. Data, seeds and the 1,024-update budget were matched. All four endpoints evaluated the same 16 new questions unconditionally. The checked primary pair difference was zero in both seeds. Equal updates did not imply equal compute: seed-0 training took 786.922 seconds for the deep core versus 398.14 seconds for the shallow core, about 1.98 times as long. This measures training time, not response latency.</w:t>
      </w:r>
    </w:p>
    <w:p>
      <w:r>
        <w:t xml:space="preserve">Switch Transformers identifies sparse-routing complexity and stability costs. DeepNet illustrates depth-specific residual and initialization choices. Neither guarantees effective training on 16 GB. Expert identities do not establish learned reasoning skills. </w:t>
      </w:r>
      <w:hyperlink ns2:id="rId28">
        <w:r>
          <w:rPr>
            <w:color w:val="245A81"/>
            <w:u w:val="single"/>
          </w:rPr>
          <w:t>[31]</w:t>
        </w:r>
      </w:hyperlink>
      <w:r>
        <w:t xml:space="preserve"> </w:t>
      </w:r>
      <w:hyperlink ns2:id="rId29">
        <w:r>
          <w:rPr>
            <w:color w:val="245A81"/>
            <w:u w:val="single"/>
          </w:rPr>
          <w:t>[32]</w:t>
        </w:r>
      </w:hyperlink>
      <w:r/>
    </w:p>
    <w:p>
      <w:pPr>
        <w:pStyle w:val="Heading2"/>
      </w:pPr>
      <w:r>
        <w:t>Time the whole answer path</w:t>
      </w:r>
    </w:p>
    <w:p>
      <w:r>
        <w:t>Time English, retrieval, core computation, calculator calls, output, checking and fallback separately. Report warm batch-one median and tail latency, cold start, peak memory and usable-answer accuracy. Four loops need not imply equal work.</w:t>
      </w:r>
    </w:p>
    <w:p>
      <w:r>
        <w:t xml:space="preserve">First remove measured overhead: keep the model resident, reuse allocations and cache only immutable or version-keyed evidence. Official compiler and CUDA-graph guidance motivates such profiling, not a promised speedup. FlashAttention and speculative decoding remain conditional on an actual attention or serial-output bottleneck. </w:t>
      </w:r>
      <w:hyperlink ns2:id="rId30">
        <w:r>
          <w:rPr>
            <w:color w:val="245A81"/>
            <w:u w:val="single"/>
          </w:rPr>
          <w:t>[9]</w:t>
        </w:r>
      </w:hyperlink>
      <w:r>
        <w:t xml:space="preserve"> </w:t>
      </w:r>
      <w:hyperlink ns2:id="rId31">
        <w:r>
          <w:rPr>
            <w:color w:val="245A81"/>
            <w:u w:val="single"/>
          </w:rPr>
          <w:t>[10]</w:t>
        </w:r>
      </w:hyperlink>
      <w:r>
        <w:t xml:space="preserve"> </w:t>
      </w:r>
      <w:hyperlink ns2:id="rId32">
        <w:r>
          <w:rPr>
            <w:color w:val="245A81"/>
            <w:u w:val="single"/>
          </w:rPr>
          <w:t>[11]</w:t>
        </w:r>
      </w:hyperlink>
      <w:r/>
    </w:p>
    <w:p>
      <w:pPr>
        <w:pStyle w:val="Heading1"/>
        <w:pageBreakBefore/>
      </w:pPr>
      <w:r>
        <w:t>A notebook that can be trusted</w:t>
      </w:r>
    </w:p>
    <w:p>
      <w:r>
        <w:t>The notebook owns explicitly taught facts and their current scope. The experience store separately holds checked examples that may help contextual adaptation or later skill learning. Retrieval should infer relevance from content, not expose an oracle method label. Current results do not yet establish reliable notebook use.</w:t>
      </w:r>
    </w:p>
    <w:p>
      <w:pPr>
        <w:pStyle w:val="Heading2"/>
      </w:pPr>
      <w:r>
        <w:t>Store assertions with their history</w:t>
      </w:r>
    </w:p>
    <w:p>
      <w:r>
        <w:t>Each record would retain an identifier, original wording, source, teaching time, applicable scope or time, and active or superseded status. Metadata can remain outside the model-facing text. A correction creates a new record and an explicit supersession link rather than silently erasing the old assertion.</w:t>
      </w:r>
    </w:p>
    <w:p>
      <w:r>
        <w:t>A later statement supersedes an earlier one only when it corrects the same claim in the same scope. “The office opens at 9 on Monday” and “The office opens at 10 on Sunday” are compatible. Hypothetical worlds and conflicting sources also require distinct records rather than an automatic newest-wins rule.</w:t>
      </w:r>
    </w:p>
    <w:p>
      <w:r>
        <w:t>Keep taught assertions separate from derived conclusions. Initially, recompute conclusions from active source records instead of persisting them. Keep old fact-dependent training episodes scoped to their original circumstances; replay must not turn an outdated assertion into a current fact. If a derived claim is stored later, it must name the exact supporting record versions and become invalid when they change. Model confidence cannot turn an inference into a taught fact.</w:t>
      </w:r>
    </w:p>
    <w:p>
      <w:pPr>
        <w:pStyle w:val="Heading2"/>
      </w:pPr>
      <w:r>
        <w:t>Prove evidence use before complex retrieval</w:t>
      </w:r>
    </w:p>
    <w:p>
      <w:r>
        <w:t>For a small notebook, providing all active records within the context budget is a useful starting design. As it grows, an index can retrieve original records or complete source episodes without rewriting them. The renderer should be consistent between training and evaluation.</w:t>
      </w:r>
    </w:p>
    <w:p>
      <w:r>
        <w:t>Distinguish matched inline facts, oracle-selected notebook facts and facts selected by the actual retriever. Oracle selection supplies premises, never a completed solution. If oracle evidence fails, better retrieval cannot fix that failure. If it works while actual retrieval misses a required record, retrieval becomes the appropriate target.</w:t>
      </w:r>
    </w:p>
    <w:p>
      <w:r>
        <w:t>A minimal later mechanism check can use one genuinely fresh supported multi-hop case, identical premises through inline and notebook renderings, a missing necessary premise, and an explicit correction. This can expose a defect cheaply. It cannot certify notebook reliability or establish a generalization rate.</w:t>
      </w:r>
    </w:p>
    <w:p>
      <w:pPr>
        <w:pStyle w:val="Heading2"/>
      </w:pPr>
      <w:r>
        <w:t>Teach evidence handling rather than factual shortcuts</w:t>
      </w:r>
    </w:p>
    <w:p>
      <w:r>
        <w:t>Weights should learn to combine relations, respect scope, apply corrections and abstain when a premise is missing. Missing evidence means “cannot determine from the notebook,” not “false.” Measure unnecessary abstention on answerable cases as well as confident guessing on unanswerable ones.</w:t>
      </w:r>
    </w:p>
    <w:p>
      <w:r>
        <w:t xml:space="preserve">MQuAKE shows why answering a directly corrected fact is insufficient: its consequences in multi-hop questions must also change. Its tests are relevant; importing an additional large-model reasoning pipeline is not required by this design. </w:t>
      </w:r>
      <w:hyperlink ns2:id="rId33">
        <w:r>
          <w:rPr>
            <w:color w:val="245A81"/>
            <w:u w:val="single"/>
          </w:rPr>
          <w:t>[13]</w:t>
        </w:r>
      </w:hyperlink>
      <w:r/>
    </w:p>
    <w:p>
      <w:r>
        <w:t xml:space="preserve">A graph index is a later option only if ordinary retrieval has inadequate support recall. Its role should be evidence expansion, not external deduction. HippoRAG 2’s large-model and multi-GPU setup does not establish feasibility on this PC. A small index over already structured teaching records would be a separate proposal. </w:t>
      </w:r>
      <w:hyperlink ns2:id="rId34">
        <w:r>
          <w:rPr>
            <w:color w:val="245A81"/>
            <w:u w:val="single"/>
          </w:rPr>
          <w:t>[14]</w:t>
        </w:r>
      </w:hyperlink>
      <w:r/>
    </w:p>
    <w:p>
      <w:pPr>
        <w:pStyle w:val="Heading1"/>
        <w:pageBreakBefore/>
      </w:pPr>
      <w:r>
        <w:t>Creative exploration that complements the worker</w:t>
      </w:r>
    </w:p>
    <w:p>
      <w:r>
        <w:t>The explorer should discover correct answers that the normal worker misses. Creativity becomes useful when it adds verified coverage or produces experiences that later improve the worker. Variation by itself is not the objective.</w:t>
      </w:r>
    </w:p>
    <w:p>
      <w:r>
        <w:t>The earlier sampling diagnostic used varied complete candidates on practice failures and gold-answer acceptance. It made 40 calls, rescued two of six failures and performed no optimizer updates. Plain stochastic sampling is therefore the appropriate first baseline. A separate network or higher temperature would not, by itself, demonstrate a learned complementary capability.</w:t>
      </w:r>
    </w:p>
    <w:p>
      <w:pPr>
        <w:pStyle w:val="Heading2"/>
      </w:pPr>
      <w:r>
        <w:t>A proposed specialized explorer</w:t>
      </w:r>
    </w:p>
    <w:p>
      <w:r>
        <w:t>A later explorer could begin from the project’s own checkpoint and train against failures of a frozen worker. Its input would preserve the original problem. Its reward would favor a newly rescued problem, rather than duplicate correct answers or novelty alone. When the worker changes, the failure distribution changes too; explorer comparisons need a named worker version.</w:t>
      </w:r>
    </w:p>
    <w:p>
      <w:r>
        <w:t>Start with clean task-state restarts. Rejected guesses should not become authoritative context or contaminate the notebook. Objective feedback may help where the system can actually produce it, but “try harder” and an unverified failed rationale add no new correctness evidence.</w:t>
      </w:r>
    </w:p>
    <w:p>
      <w:r>
        <w:t xml:space="preserve">Expert Iteration provides a precedent for separating expensive discovery from a learned fast policy. Exploration learned from downstream improvement is also studied in meta policy gradient research, although that evidence comes from continuous control. SCoRe investigates learning correction with outcome feedback. These support ingredients, not a proven Premonition mechanism. </w:t>
      </w:r>
      <w:hyperlink ns2:id="rId35">
        <w:r>
          <w:rPr>
            <w:color w:val="245A81"/>
            <w:u w:val="single"/>
          </w:rPr>
          <w:t>[15]</w:t>
        </w:r>
      </w:hyperlink>
      <w:r>
        <w:t xml:space="preserve"> </w:t>
      </w:r>
      <w:hyperlink ns2:id="rId36">
        <w:r>
          <w:rPr>
            <w:color w:val="245A81"/>
            <w:u w:val="single"/>
          </w:rPr>
          <w:t>[16]</w:t>
        </w:r>
      </w:hyperlink>
      <w:r>
        <w:t xml:space="preserve"> </w:t>
      </w:r>
      <w:hyperlink ns2:id="rId37">
        <w:r>
          <w:rPr>
            <w:color w:val="245A81"/>
            <w:u w:val="single"/>
          </w:rPr>
          <w:t>[17]</w:t>
        </w:r>
      </w:hyperlink>
      <w:r/>
    </w:p>
    <w:p>
      <w:pPr>
        <w:pStyle w:val="Heading2"/>
      </w:pPr>
      <w:r>
        <w:t>Handle the cold start honestly</w:t>
      </w:r>
    </w:p>
    <w:p>
      <w:r>
        <w:t>If no explorer proposal ever passes a sound checker, there is no positive discovery signal to learn from. A larger ranking model cannot select a correct answer that is absent. First improve supported worker competence, or propose a scoped set of verified training examples. Do not silently insert a host solver or reveal gold hints and then count the result as unknown-answer discovery.</w:t>
      </w:r>
    </w:p>
    <w:p>
      <w:r>
        <w:t xml:space="preserve">The distinction also matters when learning from rationales. STaR includes a rationalization extension that can use correct answers during training. Such privileged information may help training, but it is not evidence that the model solved an unseen problem without that information. </w:t>
      </w:r>
      <w:hyperlink ns2:id="rId38">
        <w:r>
          <w:rPr>
            <w:color w:val="245A81"/>
            <w:u w:val="single"/>
          </w:rPr>
          <w:t>[18]</w:t>
        </w:r>
      </w:hyperlink>
      <w:r/>
    </w:p>
    <w:p>
      <w:pPr>
        <w:pStyle w:val="Heading2"/>
      </w:pPr>
      <w:r>
        <w:t>Let specialization earn its cost</w:t>
      </w:r>
    </w:p>
    <w:p>
      <w:r>
        <w:t>Compare a future specialized explorer with ordinary sampling under the same stated budget. Count newly solved problems, duplicate attempts, unresolved checks and latency. Then ask whether its checked discoveries improve fresh worker-only performance after an approved learning update. Replaying the same rescued questions is insufficient evidence of method learning.</w:t>
      </w:r>
    </w:p>
    <w:p>
      <w:r>
        <w:t xml:space="preserve">GFlowNets are conditional later work. Trajectory Balance can preserve multiple reward-weighted solution modes, but the current output is usually a single scalar. Multiple spellings of one correct number are artificial diversity. Reconsider this family only if an approved derivation or strategy interface contains genuinely useful alternative valid objects. </w:t>
      </w:r>
      <w:hyperlink ns2:id="rId39">
        <w:r>
          <w:rPr>
            <w:color w:val="245A81"/>
            <w:u w:val="single"/>
          </w:rPr>
          <w:t>[19]</w:t>
        </w:r>
      </w:hyperlink>
      <w:r/>
    </w:p>
    <w:p>
      <w:pPr>
        <w:pStyle w:val="Heading1"/>
        <w:pageBreakBefore/>
      </w:pPr>
      <w:r>
        <w:t>Verification that matches the claim</w:t>
      </w:r>
    </w:p>
    <w:p>
      <w:r>
        <w:t>The critical dependency is a checker that can establish the property being claimed. A calculator can validate an equation. It cannot, by itself, establish that the equation faithfully represents an English word problem.</w:t>
      </w:r>
    </w:p>
    <w:p>
      <w:r>
        <w:t>If a problem says that Mira gives away 7 of her 18 counters, both “18 minus 7 equals 11” and “18 plus 7 equals 25” are arithmetically valid statements. Only one represents the request. A checker that validates arithmetic alone must not certify the full interpretation.</w:t>
      </w:r>
    </w:p>
    <w:p>
      <w:pPr>
        <w:pStyle w:val="Heading2"/>
      </w:pPr>
      <w:r>
        <w:t>Use explicit acceptance states</w:t>
      </w:r>
    </w:p>
    <w:p>
      <w:r>
        <w:t>Accepted means the relevant claim passed a named supported checking procedure. Rejected means the procedure found a definite violation. Unresolved means the available check cannot establish correctness. An untested answer and a proven false answer should not be collapsed into the same state.</w:t>
      </w:r>
    </w:p>
    <w:p>
      <w:r>
        <w:t>During controlled training, known gold answers or a synthetic-world oracle can label final outputs. During deployment, restricted formal tasks may provide exact semantics and goal predicates. For unrestricted English, a learned verifier is fallible evidence for ranking or escalation, not a correctness certificate.</w:t>
      </w:r>
    </w:p>
    <w:p>
      <w:r>
        <w:t xml:space="preserve">Research on training verifiers and process supervision supports the value of selection and intermediate checks. It does not remove the distinction between probabilistic judgment and exact verification. Agreement among several generated answers can reflect a shared mistake. Confidence is likewise not proof. </w:t>
      </w:r>
      <w:hyperlink ns2:id="rId40">
        <w:r>
          <w:rPr>
            <w:color w:val="245A81"/>
            <w:u w:val="single"/>
          </w:rPr>
          <w:t>[20]</w:t>
        </w:r>
      </w:hyperlink>
      <w:r>
        <w:t xml:space="preserve"> </w:t>
      </w:r>
      <w:hyperlink ns2:id="rId41">
        <w:r>
          <w:rPr>
            <w:color w:val="245A81"/>
            <w:u w:val="single"/>
          </w:rPr>
          <w:t>[21]</w:t>
        </w:r>
      </w:hyperlink>
      <w:r/>
    </w:p>
    <w:p>
      <w:pPr>
        <w:pStyle w:val="Heading2"/>
      </w:pPr>
      <w:r>
        <w:t>Diagnose answer use without forcing a copy</w:t>
      </w:r>
    </w:p>
    <w:p>
      <w:r>
        <w:t>The earlier calculator pilot’s nine correct-call failures all required values absent from its 10 training-answer targets; 28 of 32 final numbers matched training targets. In the depth comparison, 63 of 64 final numbers matched its training targets. Among 24 correct-call/wrong-final cases, three expected values and tokens were already present in training. This weakens an unseen-output-vocabulary-only explanation, but neither pattern identifies the responsible component. In the earlier pilot, correct results also persisted through all four updates without later contradictory calls.</w:t>
      </w:r>
    </w:p>
    <w:p>
      <w:r>
        <w:t xml:space="preserve">Forced calculator copying was rejected and is not selected. Learned reference selection remains a literature option, not an approved repair. </w:t>
      </w:r>
      <w:hyperlink ns2:id="rId42">
        <w:r>
          <w:rPr>
            <w:color w:val="245A81"/>
            <w:u w:val="single"/>
          </w:rPr>
          <w:t>[39]</w:t>
        </w:r>
      </w:hyperlink>
      <w:r>
        <w:t xml:space="preserve"> Auxiliary tens and ones heads are an unimplemented fallback, not an approved change. The coverage test added 40 correct-task-call cases with wrong final answers; this locates a failure without proving its cause.</w:t>
      </w:r>
    </w:p>
    <w:p>
      <w:pPr>
        <w:pStyle w:val="Heading2"/>
      </w:pPr>
      <w:r>
        <w:t>Admit only supported learning targets</w:t>
      </w:r>
    </w:p>
    <w:p>
      <w:r>
        <w:t>A correct final number does not verify a generated rationale. Initially, checked input–answer pairs are safer positive training targets than self-authored explanations. Preserve failed attempts as diagnostics, with source and model versions, but do not relabel them as successful experiences.</w:t>
      </w:r>
    </w:p>
    <w:p>
      <w:r>
        <w:t xml:space="preserve">Exclude consumed evaluation questions and their answers from positive replay. A check that consults the evaluation question’s gold answer must not be described as answer-hidden. Training a verifier on separate labeled training examples is compatible with answer-hidden evaluation. Any later learned reward needs a separate check against objective outcomes, because optimizing a proxy can worsen the quality it was intended to represent. </w:t>
      </w:r>
      <w:hyperlink ns2:id="rId43">
        <w:r>
          <w:rPr>
            <w:color w:val="245A81"/>
            <w:u w:val="single"/>
          </w:rPr>
          <w:t>[22]</w:t>
        </w:r>
      </w:hyperlink>
      <w:r/>
    </w:p>
    <w:p>
      <w:r>
        <w:t>This checking contract should be defined before expanding creative search. More candidates help only when useful proposals occur and acceptance remains meaningful.</w:t>
      </w:r>
    </w:p>
    <w:p>
      <w:pPr>
        <w:pStyle w:val="Heading1"/>
        <w:pageBreakBefore/>
      </w:pPr>
      <w:r>
        <w:t>Consolidation with retention and trusted feedback</w:t>
      </w:r>
    </w:p>
    <w:p>
      <w:r>
        <w:t>Overnight learning should turn useful experience into cheaper future competence while preserving earlier abilities. Lower training loss and improved recall of replayed answers are insufficient. A promoted change needs fresh transfer, retention and correct handling of facts, corrections and missing evidence.</w:t>
      </w:r>
    </w:p>
    <w:p>
      <w:pPr>
        <w:pStyle w:val="Heading2"/>
      </w:pPr>
      <w:r>
        <w:t>Admit only the target that feedback supports</w:t>
      </w:r>
    </w:p>
    <w:p>
      <w:r>
        <w:t>A positive experience must have a trusted correction or independently checked outcome for its particular target. A calculator validates the executed arithmetic, not whether the operation matches the problem. A correct final number does not validate its generated explanation. Preserve problem, action, result, evidence versions and checking method so that later training knows what was actually established.</w:t>
      </w:r>
    </w:p>
    <w:p>
      <w:r>
        <w:t>Experiments can use an oracle for new queries; ordinary use often cannot. Without trustworthy feedback, retain an unresolved example rather than let the worker certify it. Sampling cannot manufacture missing facts. Feedback used to choose updates is selection information, not untouched final evidence.</w:t>
      </w:r>
    </w:p>
    <w:p>
      <w:pPr>
        <w:pStyle w:val="Heading2"/>
      </w:pPr>
      <w:r>
        <w:t>Start with balanced verified replay</w:t>
      </w:r>
    </w:p>
    <w:p>
      <w:r>
        <w:t xml:space="preserve">Keep a bounded, deduplicated store covering important methods, corrections and missing-premise cases. Storage selection differs from replay sampling. Compare new-only learning with balanced replay before adding a learned selector. Episodic-memory research supports this baseline, not a guarantee of reasoning transfer. </w:t>
      </w:r>
      <w:hyperlink ns2:id="rId44">
        <w:r>
          <w:rPr>
            <w:color w:val="245A81"/>
            <w:u w:val="single"/>
          </w:rPr>
          <w:t>[23]</w:t>
        </w:r>
      </w:hyperlink>
      <w:r/>
    </w:p>
    <w:p>
      <w:r>
        <w:t xml:space="preserve">Changing factual examples remain scoped to their original record versions. Do not replay superseded answers as current truth or distill known mistakes. Private facts should normally stay in the notebook; deleting a record does not erase information already learned by weights. Retention and privacy therefore need deliberate treatment. </w:t>
      </w:r>
      <w:hyperlink ns2:id="rId45">
        <w:r>
          <w:rPr>
            <w:color w:val="245A81"/>
            <w:u w:val="single"/>
          </w:rPr>
          <w:t>[28]</w:t>
        </w:r>
      </w:hyperlink>
      <w:r/>
    </w:p>
    <w:p>
      <w:pPr>
        <w:pStyle w:val="Heading2"/>
      </w:pPr>
      <w:r>
        <w:t>Promote a core and adapter together</w:t>
      </w:r>
    </w:p>
    <w:p>
      <w:r>
        <w:t>The proposed persistent model is a versioned core–adapter pair. A core update changes the representations its adapter uses. Revalidate, replace or reset the adapter before promotion, rather than silently carrying it forward unchanged. Keep the previous compatible pair, original experiences and training manifest for rollback.</w:t>
      </w:r>
    </w:p>
    <w:p>
      <w:r>
        <w:t>Test a saved skill after context reset and intervening learning. A gain that disappears after reset is contextual adaptation. A gain only on replayed instances is memorization evidence. The depth comparison, adapter comparison and consolidation comparison should remain separately interpretable.</w:t>
      </w:r>
    </w:p>
    <w:p>
      <w:pPr>
        <w:pStyle w:val="Heading2"/>
      </w:pPr>
      <w:r>
        <w:t>Let measured failures justify smarter selection</w:t>
      </w:r>
    </w:p>
    <w:p>
      <w:r>
        <w:t xml:space="preserve">If balanced replay still forgets, interference-aware selection or preservation of prior outputs are later candidates. </w:t>
      </w:r>
      <w:hyperlink ns2:id="rId46">
        <w:r>
          <w:rPr>
            <w:color w:val="245A81"/>
            <w:u w:val="single"/>
          </w:rPr>
          <w:t>[24]</w:t>
        </w:r>
      </w:hyperlink>
      <w:r>
        <w:t xml:space="preserve"> </w:t>
      </w:r>
      <w:hyperlink ns2:id="rId47">
        <w:r>
          <w:rPr>
            <w:color w:val="245A81"/>
            <w:u w:val="single"/>
          </w:rPr>
          <w:t>[25]</w:t>
        </w:r>
      </w:hyperlink>
      <w:r>
        <w:t xml:space="preserve"> A practice scheduler could mix learnable progress, declining skills and random coverage over checked examples. High loss alone can chase noise. Learning-progress research motivates this hypothesis, not a proven schedule. </w:t>
      </w:r>
      <w:hyperlink ns2:id="rId48">
        <w:r>
          <w:rPr>
            <w:color w:val="245A81"/>
            <w:u w:val="single"/>
          </w:rPr>
          <w:t>[38]</w:t>
        </w:r>
      </w:hyperlink>
      <w:r/>
    </w:p>
    <w:p>
      <w:r>
        <w:t xml:space="preserve">Scheduler probes are training-time information; keep final assessment separate. Sleep-time context preparation and self-editing do not prove nightly retention. The proposed adapter, scheduler and consolidation changes await approval. </w:t>
      </w:r>
      <w:hyperlink ns2:id="rId49">
        <w:r>
          <w:rPr>
            <w:color w:val="245A81"/>
            <w:u w:val="single"/>
          </w:rPr>
          <w:t>[26]</w:t>
        </w:r>
      </w:hyperlink>
      <w:r>
        <w:t xml:space="preserve"> </w:t>
      </w:r>
      <w:hyperlink ns2:id="rId50">
        <w:r>
          <w:rPr>
            <w:color w:val="245A81"/>
            <w:u w:val="single"/>
          </w:rPr>
          <w:t>[27]</w:t>
        </w:r>
      </w:hyperlink>
      <w:r/>
    </w:p>
    <w:p>
      <w:pPr>
        <w:pStyle w:val="Heading1"/>
        <w:pageBreakBefore/>
      </w:pPr>
      <w:r>
        <w:t>How the parts should work together</w:t>
      </w:r>
    </w:p>
    <w:p>
      <w:r>
        <w:t>Consider a small synthetic conversation. This is an illustrative target behavior, not a completed Premonition demonstration.</w:t>
      </w:r>
    </w:p>
    <w:p>
      <w:r>
        <w:t>The user teaches “Aster is in Room 4” and “Room 4 is on the second floor.” The notebook stores two original assertions. When asked which floor Aster is on, retrieval supplies both and the worker composes them. The answer depends on both record versions.</w:t>
      </w:r>
    </w:p>
    <w:p>
      <w:r>
        <w:t>The user then corrects Aster’s room to Room 9. The first location record is superseded. The old second-floor answer must not survive through a cache. If Room 9’s floor is unknown, the answer should say the notebook does not establish it. Creative search must not invent the missing fact. In a numerical request, the reasoner can select a calculator call from supplied quantities, but the returned number cannot fill an unrelated missing premise.</w:t>
      </w:r>
    </w:p>
    <w:p>
      <w:r>
        <w:t>In a separate fully specified reasoning task, the worker might fail while a bounded explorer finds a checked answer. That experience can be retained for permitted training. Context reuse might help on the next related query without changing weights. Lasting method learning requires a validated saved change to improve new tasks after context reset and intervening learning. A later core replacement must preserve or revalidate its adapter as part of the same deployment version.</w:t>
      </w:r>
    </w:p>
    <w:p>
      <w:pPr>
        <w:pStyle w:val="Heading2"/>
      </w:pPr>
      <w:r>
        <w:t>Interactions that can undermine the whole system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44"/>
        <w:gridCol w:w="3816"/>
        <w:gridCol w:w="4320"/>
      </w:tblGrid>
      <w:tr>
        <w:trPr>
          <w:cantSplit/>
          <w:tblHeader/>
        </w:trPr>
        <w:tc>
          <w:tcPr>
            <w:tcW w:type="dxa" w:w="1944"/>
            <w:vAlign w:val="center"/>
            <w:tcMar>
              <w:top w:w="85" w:type="dxa"/>
              <w:left w:w="100" w:type="dxa"/>
              <w:bottom w:w="85" w:type="dxa"/>
              <w:right w:w="100" w:type="dxa"/>
            </w:tcMar>
            <w:shd w:fill="263B4D"/>
          </w:tcPr>
          <w:p>
            <w:pPr>
              <w:spacing w:line="247" w:lineRule="auto" w:after="0"/>
            </w:pPr>
            <w:r>
              <w:rPr>
                <w:b/>
                <w:color w:val="FFFFFF"/>
                <w:sz w:val="19"/>
              </w:rPr>
              <w:t>Interaction</w:t>
            </w:r>
          </w:p>
        </w:tc>
        <w:tc>
          <w:tcPr>
            <w:tcW w:type="dxa" w:w="3816"/>
            <w:vAlign w:val="center"/>
            <w:tcMar>
              <w:top w:w="85" w:type="dxa"/>
              <w:left w:w="100" w:type="dxa"/>
              <w:bottom w:w="85" w:type="dxa"/>
              <w:right w:w="100" w:type="dxa"/>
            </w:tcMar>
            <w:shd w:fill="263B4D"/>
          </w:tcPr>
          <w:p>
            <w:pPr>
              <w:spacing w:line="247" w:lineRule="auto" w:after="0"/>
            </w:pPr>
            <w:r>
              <w:rPr>
                <w:b/>
                <w:color w:val="FFFFFF"/>
                <w:sz w:val="19"/>
              </w:rPr>
              <w:t>How it can fail</w:t>
            </w:r>
          </w:p>
        </w:tc>
        <w:tc>
          <w:tcPr>
            <w:tcW w:type="dxa" w:w="4320"/>
            <w:vAlign w:val="center"/>
            <w:tcMar>
              <w:top w:w="85" w:type="dxa"/>
              <w:left w:w="100" w:type="dxa"/>
              <w:bottom w:w="85" w:type="dxa"/>
              <w:right w:w="100" w:type="dxa"/>
            </w:tcMar>
            <w:shd w:fill="263B4D"/>
          </w:tcPr>
          <w:p>
            <w:pPr>
              <w:spacing w:line="247" w:lineRule="auto" w:after="0"/>
            </w:pPr>
            <w:r>
              <w:rPr>
                <w:b/>
                <w:color w:val="FFFFFF"/>
                <w:sz w:val="19"/>
              </w:rPr>
              <w:t>Design response</w:t>
            </w:r>
          </w:p>
        </w:tc>
      </w:tr>
      <w:tr>
        <w:trPr>
          <w:cantSplit/>
        </w:trPr>
        <w:tc>
          <w:tcPr>
            <w:tcW w:type="dxa" w:w="1944"/>
            <w:vAlign w:val="center"/>
            <w:tcMar>
              <w:top w:w="85" w:type="dxa"/>
              <w:left w:w="100" w:type="dxa"/>
              <w:bottom w:w="85" w:type="dxa"/>
              <w:right w:w="100" w:type="dxa"/>
            </w:tcMar>
            <w:shd w:fill="FFFFFF"/>
          </w:tcPr>
          <w:p>
            <w:pPr>
              <w:spacing w:line="247" w:lineRule="auto" w:after="0"/>
            </w:pPr>
            <w:r>
              <w:rPr>
                <w:sz w:val="19"/>
              </w:rPr>
              <w:t>English and calculator</w:t>
            </w:r>
          </w:p>
        </w:tc>
        <w:tc>
          <w:tcPr>
            <w:tcW w:type="dxa" w:w="3816"/>
            <w:vAlign w:val="center"/>
            <w:tcMar>
              <w:top w:w="85" w:type="dxa"/>
              <w:left w:w="100" w:type="dxa"/>
              <w:bottom w:w="85" w:type="dxa"/>
              <w:right w:w="100" w:type="dxa"/>
            </w:tcMar>
            <w:shd w:fill="FFFFFF"/>
          </w:tcPr>
          <w:p>
            <w:pPr>
              <w:spacing w:line="247" w:lineRule="auto" w:after="0"/>
            </w:pPr>
            <w:r>
              <w:rPr>
                <w:sz w:val="19"/>
              </w:rPr>
              <w:t>Correct arithmetic on the wrong operands or operation</w:t>
            </w:r>
          </w:p>
        </w:tc>
        <w:tc>
          <w:tcPr>
            <w:tcW w:type="dxa" w:w="4320"/>
            <w:vAlign w:val="center"/>
            <w:tcMar>
              <w:top w:w="85" w:type="dxa"/>
              <w:left w:w="100" w:type="dxa"/>
              <w:bottom w:w="85" w:type="dxa"/>
              <w:right w:w="100" w:type="dxa"/>
            </w:tcMar>
            <w:shd w:fill="FFFFFF"/>
          </w:tcPr>
          <w:p>
            <w:pPr>
              <w:spacing w:line="247" w:lineRule="auto" w:after="0"/>
            </w:pPr>
            <w:r>
              <w:rPr>
                <w:sz w:val="19"/>
              </w:rPr>
              <w:t>Trace source bindings and score semantic calls separately</w:t>
            </w:r>
          </w:p>
        </w:tc>
      </w:tr>
      <w:tr>
        <w:trPr>
          <w:cantSplit/>
        </w:trPr>
        <w:tc>
          <w:tcPr>
            <w:tcW w:type="dxa" w:w="1944"/>
            <w:vAlign w:val="center"/>
            <w:tcMar>
              <w:top w:w="85" w:type="dxa"/>
              <w:left w:w="100" w:type="dxa"/>
              <w:bottom w:w="85" w:type="dxa"/>
              <w:right w:w="100" w:type="dxa"/>
            </w:tcMar>
            <w:shd w:fill="F2F5F7"/>
          </w:tcPr>
          <w:p>
            <w:pPr>
              <w:spacing w:line="247" w:lineRule="auto" w:after="0"/>
            </w:pPr>
            <w:r>
              <w:rPr>
                <w:sz w:val="19"/>
              </w:rPr>
              <w:t>Notebook and caches</w:t>
            </w:r>
          </w:p>
        </w:tc>
        <w:tc>
          <w:tcPr>
            <w:tcW w:type="dxa" w:w="3816"/>
            <w:vAlign w:val="center"/>
            <w:tcMar>
              <w:top w:w="85" w:type="dxa"/>
              <w:left w:w="100" w:type="dxa"/>
              <w:bottom w:w="85" w:type="dxa"/>
              <w:right w:w="100" w:type="dxa"/>
            </w:tcMar>
            <w:shd w:fill="F2F5F7"/>
          </w:tcPr>
          <w:p>
            <w:pPr>
              <w:spacing w:line="247" w:lineRule="auto" w:after="0"/>
            </w:pPr>
            <w:r>
              <w:rPr>
                <w:sz w:val="19"/>
              </w:rPr>
              <w:t>A superseded fact keeps influencing answers</w:t>
            </w:r>
          </w:p>
        </w:tc>
        <w:tc>
          <w:tcPr>
            <w:tcW w:type="dxa" w:w="4320"/>
            <w:vAlign w:val="center"/>
            <w:tcMar>
              <w:top w:w="85" w:type="dxa"/>
              <w:left w:w="100" w:type="dxa"/>
              <w:bottom w:w="85" w:type="dxa"/>
              <w:right w:w="100" w:type="dxa"/>
            </w:tcMar>
            <w:shd w:fill="F2F5F7"/>
          </w:tcPr>
          <w:p>
            <w:pPr>
              <w:spacing w:line="247" w:lineRule="auto" w:after="0"/>
            </w:pPr>
            <w:r>
              <w:rPr>
                <w:sz w:val="19"/>
              </w:rPr>
              <w:t>Version records and invalidate dependent cached results</w:t>
            </w:r>
          </w:p>
        </w:tc>
      </w:tr>
      <w:tr>
        <w:trPr>
          <w:cantSplit/>
        </w:trPr>
        <w:tc>
          <w:tcPr>
            <w:tcW w:type="dxa" w:w="1944"/>
            <w:vAlign w:val="center"/>
            <w:tcMar>
              <w:top w:w="85" w:type="dxa"/>
              <w:left w:w="100" w:type="dxa"/>
              <w:bottom w:w="85" w:type="dxa"/>
              <w:right w:w="100" w:type="dxa"/>
            </w:tcMar>
            <w:shd w:fill="FFFFFF"/>
          </w:tcPr>
          <w:p>
            <w:pPr>
              <w:spacing w:line="247" w:lineRule="auto" w:after="0"/>
            </w:pPr>
            <w:r>
              <w:rPr>
                <w:sz w:val="19"/>
              </w:rPr>
              <w:t>Explorer and checker</w:t>
            </w:r>
          </w:p>
        </w:tc>
        <w:tc>
          <w:tcPr>
            <w:tcW w:type="dxa" w:w="3816"/>
            <w:vAlign w:val="center"/>
            <w:tcMar>
              <w:top w:w="85" w:type="dxa"/>
              <w:left w:w="100" w:type="dxa"/>
              <w:bottom w:w="85" w:type="dxa"/>
              <w:right w:w="100" w:type="dxa"/>
            </w:tcMar>
            <w:shd w:fill="FFFFFF"/>
          </w:tcPr>
          <w:p>
            <w:pPr>
              <w:spacing w:line="247" w:lineRule="auto" w:after="0"/>
            </w:pPr>
            <w:r>
              <w:rPr>
                <w:sz w:val="19"/>
              </w:rPr>
              <w:t>Many polished guesses exploit a weak acceptance rule</w:t>
            </w:r>
          </w:p>
        </w:tc>
        <w:tc>
          <w:tcPr>
            <w:tcW w:type="dxa" w:w="4320"/>
            <w:vAlign w:val="center"/>
            <w:tcMar>
              <w:top w:w="85" w:type="dxa"/>
              <w:left w:w="100" w:type="dxa"/>
              <w:bottom w:w="85" w:type="dxa"/>
              <w:right w:w="100" w:type="dxa"/>
            </w:tcMar>
            <w:shd w:fill="FFFFFF"/>
          </w:tcPr>
          <w:p>
            <w:pPr>
              <w:spacing w:line="247" w:lineRule="auto" w:after="0"/>
            </w:pPr>
            <w:r>
              <w:rPr>
                <w:sz w:val="19"/>
              </w:rPr>
              <w:t>Keep unresolved distinct and check the claimed property</w:t>
            </w:r>
          </w:p>
        </w:tc>
      </w:tr>
      <w:tr>
        <w:trPr>
          <w:cantSplit/>
        </w:trPr>
        <w:tc>
          <w:tcPr>
            <w:tcW w:type="dxa" w:w="1944"/>
            <w:vAlign w:val="center"/>
            <w:tcMar>
              <w:top w:w="85" w:type="dxa"/>
              <w:left w:w="100" w:type="dxa"/>
              <w:bottom w:w="85" w:type="dxa"/>
              <w:right w:w="100" w:type="dxa"/>
            </w:tcMar>
            <w:shd w:fill="F2F5F7"/>
          </w:tcPr>
          <w:p>
            <w:pPr>
              <w:spacing w:line="247" w:lineRule="auto" w:after="0"/>
            </w:pPr>
            <w:r>
              <w:rPr>
                <w:sz w:val="19"/>
              </w:rPr>
              <w:t>Replay and factual updates</w:t>
            </w:r>
          </w:p>
        </w:tc>
        <w:tc>
          <w:tcPr>
            <w:tcW w:type="dxa" w:w="3816"/>
            <w:vAlign w:val="center"/>
            <w:tcMar>
              <w:top w:w="85" w:type="dxa"/>
              <w:left w:w="100" w:type="dxa"/>
              <w:bottom w:w="85" w:type="dxa"/>
              <w:right w:w="100" w:type="dxa"/>
            </w:tcMar>
            <w:shd w:fill="F2F5F7"/>
          </w:tcPr>
          <w:p>
            <w:pPr>
              <w:spacing w:line="247" w:lineRule="auto" w:after="0"/>
            </w:pPr>
            <w:r>
              <w:rPr>
                <w:sz w:val="19"/>
              </w:rPr>
              <w:t>Old answers become stronger after correction</w:t>
            </w:r>
          </w:p>
        </w:tc>
        <w:tc>
          <w:tcPr>
            <w:tcW w:type="dxa" w:w="4320"/>
            <w:vAlign w:val="center"/>
            <w:tcMar>
              <w:top w:w="85" w:type="dxa"/>
              <w:left w:w="100" w:type="dxa"/>
              <w:bottom w:w="85" w:type="dxa"/>
              <w:right w:w="100" w:type="dxa"/>
            </w:tcMar>
            <w:shd w:fill="F2F5F7"/>
          </w:tcPr>
          <w:p>
            <w:pPr>
              <w:spacing w:line="247" w:lineRule="auto" w:after="0"/>
            </w:pPr>
            <w:r>
              <w:rPr>
                <w:sz w:val="19"/>
              </w:rPr>
              <w:t>Exclude superseded targets and retain provenance</w:t>
            </w:r>
          </w:p>
        </w:tc>
      </w:tr>
      <w:tr>
        <w:trPr>
          <w:cantSplit/>
        </w:trPr>
        <w:tc>
          <w:tcPr>
            <w:tcW w:type="dxa" w:w="1944"/>
            <w:vAlign w:val="center"/>
            <w:tcMar>
              <w:top w:w="85" w:type="dxa"/>
              <w:left w:w="100" w:type="dxa"/>
              <w:bottom w:w="85" w:type="dxa"/>
              <w:right w:w="100" w:type="dxa"/>
            </w:tcMar>
            <w:shd w:fill="FFFFFF"/>
          </w:tcPr>
          <w:p>
            <w:pPr>
              <w:spacing w:line="247" w:lineRule="auto" w:after="0"/>
            </w:pPr>
            <w:r>
              <w:rPr>
                <w:sz w:val="19"/>
              </w:rPr>
              <w:t>Core and adapter</w:t>
            </w:r>
          </w:p>
        </w:tc>
        <w:tc>
          <w:tcPr>
            <w:tcW w:type="dxa" w:w="3816"/>
            <w:vAlign w:val="center"/>
            <w:tcMar>
              <w:top w:w="85" w:type="dxa"/>
              <w:left w:w="100" w:type="dxa"/>
              <w:bottom w:w="85" w:type="dxa"/>
              <w:right w:w="100" w:type="dxa"/>
            </w:tcMar>
            <w:shd w:fill="FFFFFF"/>
          </w:tcPr>
          <w:p>
            <w:pPr>
              <w:spacing w:line="247" w:lineRule="auto" w:after="0"/>
            </w:pPr>
            <w:r>
              <w:rPr>
                <w:sz w:val="19"/>
              </w:rPr>
              <w:t>A new core can invalidate an adapter trained on old representations</w:t>
            </w:r>
          </w:p>
        </w:tc>
        <w:tc>
          <w:tcPr>
            <w:tcW w:type="dxa" w:w="4320"/>
            <w:vAlign w:val="center"/>
            <w:tcMar>
              <w:top w:w="85" w:type="dxa"/>
              <w:left w:w="100" w:type="dxa"/>
              <w:bottom w:w="85" w:type="dxa"/>
              <w:right w:w="100" w:type="dxa"/>
            </w:tcMar>
            <w:shd w:fill="FFFFFF"/>
          </w:tcPr>
          <w:p>
            <w:pPr>
              <w:spacing w:line="247" w:lineRule="auto" w:after="0"/>
            </w:pPr>
            <w:r>
              <w:rPr>
                <w:sz w:val="19"/>
              </w:rPr>
              <w:t>Promote compatible pairs and revalidate, reset or replace the adapter</w:t>
            </w:r>
          </w:p>
        </w:tc>
      </w:tr>
      <w:tr>
        <w:trPr>
          <w:cantSplit/>
        </w:trPr>
        <w:tc>
          <w:tcPr>
            <w:tcW w:type="dxa" w:w="1944"/>
            <w:vAlign w:val="center"/>
            <w:tcMar>
              <w:top w:w="85" w:type="dxa"/>
              <w:left w:w="100" w:type="dxa"/>
              <w:bottom w:w="85" w:type="dxa"/>
              <w:right w:w="100" w:type="dxa"/>
            </w:tcMar>
            <w:shd w:fill="F2F5F7"/>
          </w:tcPr>
          <w:p>
            <w:pPr>
              <w:spacing w:line="247" w:lineRule="auto" w:after="0"/>
            </w:pPr>
            <w:r>
              <w:rPr>
                <w:sz w:val="19"/>
              </w:rPr>
              <w:t>Speed and competence</w:t>
            </w:r>
          </w:p>
        </w:tc>
        <w:tc>
          <w:tcPr>
            <w:tcW w:type="dxa" w:w="3816"/>
            <w:vAlign w:val="center"/>
            <w:tcMar>
              <w:top w:w="85" w:type="dxa"/>
              <w:left w:w="100" w:type="dxa"/>
              <w:bottom w:w="85" w:type="dxa"/>
              <w:right w:w="100" w:type="dxa"/>
            </w:tcMar>
            <w:shd w:fill="F2F5F7"/>
          </w:tcPr>
          <w:p>
            <w:pPr>
              <w:spacing w:line="247" w:lineRule="auto" w:after="0"/>
            </w:pPr>
            <w:r>
              <w:rPr>
                <w:sz w:val="19"/>
              </w:rPr>
              <w:t>Lower latency hides fewer checks or changed computation</w:t>
            </w:r>
          </w:p>
        </w:tc>
        <w:tc>
          <w:tcPr>
            <w:tcW w:type="dxa" w:w="4320"/>
            <w:vAlign w:val="center"/>
            <w:tcMar>
              <w:top w:w="85" w:type="dxa"/>
              <w:left w:w="100" w:type="dxa"/>
              <w:bottom w:w="85" w:type="dxa"/>
              <w:right w:w="100" w:type="dxa"/>
            </w:tcMar>
            <w:shd w:fill="F2F5F7"/>
          </w:tcPr>
          <w:p>
            <w:pPr>
              <w:spacing w:line="247" w:lineRule="auto" w:after="0"/>
            </w:pPr>
            <w:r>
              <w:rPr>
                <w:sz w:val="19"/>
              </w:rPr>
              <w:t>Report accuracy, budgets and usable-answer latency together</w:t>
            </w:r>
          </w:p>
        </w:tc>
      </w:tr>
    </w:tbl>
    <w:p>
      <w:pPr>
        <w:spacing w:after="0"/>
      </w:pPr>
    </w:p>
    <w:p>
      <w:pPr>
        <w:pStyle w:val="Heading2"/>
      </w:pPr>
      <w:r>
        <w:t>Test the complete conversation as well as the parts</w:t>
      </w:r>
    </w:p>
    <w:p>
      <w:r>
        <w:t>A strong component can hide a weak one. Oracle-selected evidence can conceal retrieval failure; external deductions can conceal weak reasoning; gold checking can conceal an unusable live verifier; replaying the evaluation can conceal absent transfer. Keep the same provenance and scope labels through the full system.</w:t>
      </w:r>
    </w:p>
    <w:p>
      <w:r>
        <w:t>Once the individual behaviors work, an integrated demonstration should include teaching, composition, correction, missing evidence, justified creative help and later fresh worker-only improvement. Report which parts are supported and which remain unresolved rather than presenting a polished conversation as general capability.</w:t>
      </w:r>
    </w:p>
    <w:p>
      <w:pPr>
        <w:pStyle w:val="Heading1"/>
        <w:pageBreakBefore/>
      </w:pPr>
      <w:r>
        <w:t>A lean conditional implementation order</w:t>
      </w:r>
    </w:p>
    <w:p>
      <w:r>
        <w:t>Each experiment should answer a question that changes the next action. Prepare useful success, failure and operational-recovery branches before the run ends. Preserve unique models, checkpoints, source data and held-out exclusions. A repair that merely allows frozen evaluation to run should not silently change the experiment or trigger unnecessary retraining.</w:t>
      </w:r>
    </w:p>
    <w:p>
      <w:pPr>
        <w:pStyle w:val="Heading2"/>
      </w:pPr>
      <w:r>
        <w:t>Use the checked pilot to select the next question</w:t>
      </w:r>
    </w:p>
    <w:p>
      <w:r>
        <w:t>The earlier calculator pilot had zero joint fresh success in both seeds and tied its baseline at one correct final answer across 32 outputs. Preserve its checkpoints, outputs and consumed-panel exclusions. Use the evidence for diagnosis rather than altering the completed pilot retrospectively.</w:t>
      </w:r>
    </w:p>
    <w:p>
      <w:r>
        <w:t>Use traces to separate English interpretation, operation selection, operand binding and answer use. The terminal low-LR seed 1/contextual branch retains three TRAIN final-number errors despite correct independently checked calculation signals; control retains eight errors. The saved evidence does not establish the cause. Forced calculator copying is not selected; auxiliary digit heads remain an unimplemented fallback. Architecture and reasoning-method changes still require approval.</w:t>
      </w:r>
    </w:p>
    <w:p>
      <w:pPr>
        <w:pStyle w:val="Heading2"/>
      </w:pPr>
      <w:r>
        <w:t>Preserve the completed coverage comparison</w:t>
      </w:r>
    </w:p>
    <w:p>
      <w:r>
        <w:t>The checked depth comparison found zero correct fresh pairs in every endpoint and no paired advantage in either seed. Keep the shallow model as the simpler, faster-training control. Preserve both architectures’ checkpoints and saved outputs; scoring-only recovery did not require a model rerun. The comparison panel is consumed.</w:t>
      </w:r>
    </w:p>
    <w:p>
      <w:r>
        <w:t>The eight-versus-32 test closed at 23:37 UTC on 1 October. With matched shallow controls and two seeds, TRAIN32 fit was 32/32 and 23/32; original-eight retention was 8/8 and 6/8. Fresh answers were 1/16 and 1/16 versus controls 1/16 and 0/16. All four endpoints scored 0/8 fresh pairs. The success criterion failed.</w:t>
      </w:r>
    </w:p>
    <w:p>
      <w:r>
        <w:t>The run used 2,048 new updates and produced 128 native answers in 14 minutes 26 seconds for $0.37. Forty correct task calls ended with wrong final answers. Each new endpoint received 1,024 updates; fixed updates mean unequal exposures per example. Preserve checkpoints and consumed-panel exclusions; reserved numerical-pair coverage remains unknown.</w:t>
      </w:r>
    </w:p>
    <w:p>
      <w:pPr>
        <w:pStyle w:val="Heading2"/>
      </w:pPr>
      <w:r>
        <w:t>Establish context learning before the adapter</w:t>
      </w:r>
    </w:p>
    <w:p>
      <w:r>
        <w:t>Teach the worker to use demonstrations and feedback through short episodes, without oracle method labels. Compare fresh-query behavior against ordinary training. Use that episodically trained context-only worker as the baseline for a later small ungated adapter. Match evidence and tool access, and measure support fit, fresh transfer, retention, wall time and memory.</w:t>
      </w:r>
    </w:p>
    <w:p>
      <w:r>
        <w:t>The adapter needs explicit approval and trustworthy targets. Gating and fast weights remain lower-priority alternatives driven by interference or binding failures. Further architecture or data changes require their own scoped decisions; the literature is not implementation permission.</w:t>
      </w:r>
    </w:p>
    <w:p>
      <w:pPr>
        <w:pStyle w:val="Heading2"/>
      </w:pPr>
      <w:r>
        <w:t>Consolidate only what has earned retention</w:t>
      </w:r>
    </w:p>
    <w:p>
      <w:r>
        <w:t>Reuse verified experience through context first. Later, consolidate with balanced replay, promote a validated core–adapter pair, and test fresh gains after restart and intervening learning.</w:t>
      </w:r>
    </w:p>
    <w:p>
      <w:pPr>
        <w:pStyle w:val="Heading1"/>
        <w:pageBreakBefore/>
      </w:pPr>
      <w:r>
        <w:t>Primary sources on reasoning and execution</w:t>
      </w:r>
    </w:p>
    <w:p>
      <w:r>
        <w:t>These references support individual mechanisms or cautions. None validates the proposed integrated Premonition system. Paper results are bounded by their own tasks, data, models and hardware.</w:t>
      </w:r>
    </w:p>
    <w:p>
      <w:pPr>
        <w:spacing w:after="160" w:line="247" w:lineRule="auto"/>
      </w:pPr>
      <w:r>
        <w:rPr>
          <w:b/>
          <w:sz w:val="19"/>
        </w:rPr>
        <w:t xml:space="preserve">[1] 2018. </w:t>
      </w:r>
      <w:hyperlink ns2:id="rId11">
        <w:r>
          <w:rPr>
            <w:color w:val="245A81"/>
            <w:u w:val="single"/>
          </w:rPr>
          <w:t>Generalization without systematicity</w:t>
        </w:r>
      </w:hyperlink>
      <w:r>
        <w:rPr>
          <w:sz w:val="19"/>
        </w:rPr>
        <w:t xml:space="preserve">. </w:t>
      </w:r>
      <w:r>
        <w:rPr>
          <w:sz w:val="19"/>
        </w:rPr>
        <w:t>SCAN separates familiar recombination from systematic use of a known primitive.</w:t>
      </w:r>
    </w:p>
    <w:p>
      <w:pPr>
        <w:spacing w:after="160" w:line="247" w:lineRule="auto"/>
      </w:pPr>
      <w:r>
        <w:rPr>
          <w:b/>
          <w:sz w:val="19"/>
        </w:rPr>
        <w:t xml:space="preserve">[2] 2020. </w:t>
      </w:r>
      <w:hyperlink ns2:id="rId12">
        <w:r>
          <w:rPr>
            <w:color w:val="245A81"/>
            <w:u w:val="single"/>
          </w:rPr>
          <w:t>Measuring compositional generalization</w:t>
        </w:r>
      </w:hyperlink>
      <w:r>
        <w:rPr>
          <w:sz w:val="19"/>
        </w:rPr>
        <w:t xml:space="preserve">. </w:t>
      </w:r>
      <w:r>
        <w:rPr>
          <w:sz w:val="19"/>
        </w:rPr>
        <w:t>CFQ varies combinations while controlling primitive distributions.</w:t>
      </w:r>
    </w:p>
    <w:p>
      <w:pPr>
        <w:spacing w:after="160" w:line="247" w:lineRule="auto"/>
      </w:pPr>
      <w:r>
        <w:rPr>
          <w:b/>
          <w:sz w:val="19"/>
        </w:rPr>
        <w:t xml:space="preserve">[3] 2020. </w:t>
      </w:r>
      <w:hyperlink ns2:id="rId13">
        <w:r>
          <w:rPr>
            <w:color w:val="245A81"/>
            <w:u w:val="single"/>
          </w:rPr>
          <w:t>COGS</w:t>
        </w:r>
      </w:hyperlink>
      <w:r>
        <w:rPr>
          <w:sz w:val="19"/>
        </w:rPr>
        <w:t xml:space="preserve">. </w:t>
      </w:r>
      <w:r>
        <w:rPr>
          <w:sz w:val="19"/>
        </w:rPr>
        <w:t>English semantic generalization can remain weak despite strong in-distribution accuracy.</w:t>
      </w:r>
    </w:p>
    <w:p>
      <w:pPr>
        <w:spacing w:after="160" w:line="247" w:lineRule="auto"/>
      </w:pPr>
      <w:r>
        <w:rPr>
          <w:b/>
          <w:sz w:val="19"/>
        </w:rPr>
        <w:t xml:space="preserve">[4] 2024. </w:t>
      </w:r>
      <w:hyperlink ns2:id="rId18">
        <w:r>
          <w:rPr>
            <w:color w:val="245A81"/>
            <w:u w:val="single"/>
          </w:rPr>
          <w:t>Transformers can do arithmetic with the right embeddings</w:t>
        </w:r>
      </w:hyperlink>
      <w:r>
        <w:rPr>
          <w:sz w:val="19"/>
        </w:rPr>
        <w:t xml:space="preserve">. </w:t>
      </w:r>
      <w:r>
        <w:rPr>
          <w:sz w:val="19"/>
        </w:rPr>
        <w:t>Abacus is relevant to numerical representation, with task-specific limits.</w:t>
      </w:r>
    </w:p>
    <w:p>
      <w:pPr>
        <w:spacing w:after="160" w:line="247" w:lineRule="auto"/>
      </w:pPr>
      <w:r>
        <w:rPr>
          <w:b/>
          <w:sz w:val="19"/>
        </w:rPr>
        <w:t xml:space="preserve">[5] 2024. </w:t>
      </w:r>
      <w:hyperlink ns2:id="rId19">
        <w:r>
          <w:rPr>
            <w:color w:val="245A81"/>
            <w:u w:val="single"/>
          </w:rPr>
          <w:t>Transformers can achieve length generalization but not robustly</w:t>
        </w:r>
      </w:hyperlink>
      <w:r>
        <w:rPr>
          <w:sz w:val="19"/>
        </w:rPr>
        <w:t xml:space="preserve">. </w:t>
      </w:r>
      <w:r>
        <w:rPr>
          <w:sz w:val="19"/>
        </w:rPr>
        <w:t>Format, positional encoding and random seeds affect arithmetic extrapolation.</w:t>
      </w:r>
    </w:p>
    <w:p>
      <w:pPr>
        <w:spacing w:after="160" w:line="247" w:lineRule="auto"/>
      </w:pPr>
      <w:r>
        <w:rPr>
          <w:b/>
          <w:sz w:val="19"/>
        </w:rPr>
        <w:t xml:space="preserve">[6] 2023. </w:t>
      </w:r>
      <w:hyperlink ns2:id="rId22">
        <w:r>
          <w:rPr>
            <w:color w:val="245A81"/>
            <w:u w:val="single"/>
          </w:rPr>
          <w:t>Human-like systematic generalization through a meta-learning neural network</w:t>
        </w:r>
      </w:hyperlink>
      <w:r>
        <w:rPr>
          <w:sz w:val="19"/>
        </w:rPr>
        <w:t xml:space="preserve">. </w:t>
      </w:r>
      <w:r>
        <w:rPr>
          <w:sz w:val="19"/>
        </w:rPr>
        <w:t xml:space="preserve">Compositional meta-learning through episodic training. Official code: </w:t>
      </w:r>
      <w:hyperlink ns2:id="rId51">
        <w:r>
          <w:rPr>
            <w:color w:val="245A81"/>
            <w:u w:val="single"/>
          </w:rPr>
          <w:t>Official reference</w:t>
        </w:r>
      </w:hyperlink>
      <w:r>
        <w:rPr>
          <w:sz w:val="19"/>
        </w:rPr>
      </w:r>
    </w:p>
    <w:p>
      <w:pPr>
        <w:spacing w:after="160" w:line="247" w:lineRule="auto"/>
      </w:pPr>
      <w:r>
        <w:rPr>
          <w:b/>
          <w:sz w:val="19"/>
        </w:rPr>
        <w:t xml:space="preserve">[7] 2021. </w:t>
      </w:r>
      <w:hyperlink ns2:id="rId15">
        <w:r>
          <w:rPr>
            <w:color w:val="245A81"/>
            <w:u w:val="single"/>
          </w:rPr>
          <w:t>Show your work</w:t>
        </w:r>
      </w:hyperlink>
      <w:r>
        <w:rPr>
          <w:sz w:val="19"/>
        </w:rPr>
        <w:t xml:space="preserve">. </w:t>
      </w:r>
      <w:r>
        <w:rPr>
          <w:sz w:val="19"/>
        </w:rPr>
        <w:t>Intermediate-computation supervision motivates a conditional training comparison.</w:t>
      </w:r>
    </w:p>
    <w:p>
      <w:pPr>
        <w:spacing w:after="160" w:line="247" w:lineRule="auto"/>
      </w:pPr>
      <w:r>
        <w:rPr>
          <w:b/>
          <w:sz w:val="19"/>
        </w:rPr>
        <w:t xml:space="preserve">[8] 2022. </w:t>
      </w:r>
      <w:hyperlink ns2:id="rId52">
        <w:r>
          <w:rPr>
            <w:color w:val="245A81"/>
            <w:u w:val="single"/>
          </w:rPr>
          <w:t>Grokking</w:t>
        </w:r>
      </w:hyperlink>
      <w:r>
        <w:rPr>
          <w:sz w:val="19"/>
        </w:rPr>
        <w:t xml:space="preserve">. </w:t>
      </w:r>
      <w:r>
        <w:rPr>
          <w:sz w:val="19"/>
        </w:rPr>
        <w:t>Delayed generalization in selected algorithmic settings, not a promise for this model.</w:t>
      </w:r>
    </w:p>
    <w:p>
      <w:pPr>
        <w:spacing w:after="160" w:line="247" w:lineRule="auto"/>
      </w:pPr>
      <w:r>
        <w:rPr>
          <w:b/>
          <w:sz w:val="19"/>
        </w:rPr>
        <w:t xml:space="preserve">[9] PyTorch official documentation. </w:t>
      </w:r>
      <w:hyperlink ns2:id="rId30">
        <w:r>
          <w:rPr>
            <w:color w:val="245A81"/>
            <w:u w:val="single"/>
          </w:rPr>
          <w:t>Compiler and CUDA graph guidance</w:t>
        </w:r>
      </w:hyperlink>
      <w:r>
        <w:rPr>
          <w:sz w:val="19"/>
        </w:rPr>
        <w:t xml:space="preserve">. </w:t>
      </w:r>
      <w:r>
        <w:rPr>
          <w:sz w:val="19"/>
        </w:rPr>
        <w:t xml:space="preserve">Workload-dependent overhead reduction. CUDA graphs: </w:t>
      </w:r>
      <w:hyperlink ns2:id="rId53">
        <w:r>
          <w:rPr>
            <w:color w:val="245A81"/>
            <w:u w:val="single"/>
          </w:rPr>
          <w:t>Official reference</w:t>
        </w:r>
      </w:hyperlink>
      <w:r>
        <w:rPr>
          <w:sz w:val="19"/>
        </w:rPr>
      </w:r>
    </w:p>
    <w:p>
      <w:pPr>
        <w:spacing w:after="160" w:line="247" w:lineRule="auto"/>
      </w:pPr>
      <w:r>
        <w:rPr>
          <w:b/>
          <w:sz w:val="19"/>
        </w:rPr>
        <w:t xml:space="preserve">[10] 2022. </w:t>
      </w:r>
      <w:hyperlink ns2:id="rId31">
        <w:r>
          <w:rPr>
            <w:color w:val="245A81"/>
            <w:u w:val="single"/>
          </w:rPr>
          <w:t>FlashAttention</w:t>
        </w:r>
      </w:hyperlink>
      <w:r>
        <w:rPr>
          <w:sz w:val="19"/>
        </w:rPr>
        <w:t xml:space="preserve">. </w:t>
      </w:r>
      <w:r>
        <w:rPr>
          <w:sz w:val="19"/>
        </w:rPr>
        <w:t>Exact attention with reduced memory traffic.</w:t>
      </w:r>
    </w:p>
    <w:p>
      <w:pPr>
        <w:spacing w:after="160" w:line="247" w:lineRule="auto"/>
      </w:pPr>
      <w:r>
        <w:rPr>
          <w:b/>
          <w:sz w:val="19"/>
        </w:rPr>
        <w:t xml:space="preserve">[11] 2023. </w:t>
      </w:r>
      <w:hyperlink ns2:id="rId32">
        <w:r>
          <w:rPr>
            <w:color w:val="245A81"/>
            <w:u w:val="single"/>
          </w:rPr>
          <w:t>Fast inference from transformers via speculative decoding</w:t>
        </w:r>
      </w:hyperlink>
      <w:r>
        <w:rPr>
          <w:sz w:val="19"/>
        </w:rPr>
        <w:t xml:space="preserve">. </w:t>
      </w:r>
      <w:r>
        <w:rPr>
          <w:sz w:val="19"/>
        </w:rPr>
        <w:t>Distribution-preserving speculative generation, with draft and acceptance costs.</w:t>
      </w:r>
    </w:p>
    <w:p>
      <w:pPr>
        <w:spacing w:after="160" w:line="247" w:lineRule="auto"/>
      </w:pPr>
      <w:r>
        <w:rPr>
          <w:b/>
          <w:sz w:val="19"/>
        </w:rPr>
        <w:t xml:space="preserve">[12] 2025. </w:t>
      </w:r>
      <w:hyperlink ns2:id="rId54">
        <w:r>
          <w:rPr>
            <w:color w:val="245A81"/>
            <w:u w:val="single"/>
          </w:rPr>
          <w:t>Scaling up test-time compute with latent reasoning</w:t>
        </w:r>
      </w:hyperlink>
      <w:r>
        <w:rPr>
          <w:sz w:val="19"/>
        </w:rPr>
        <w:t xml:space="preserve">. </w:t>
      </w:r>
      <w:r>
        <w:rPr>
          <w:sz w:val="19"/>
        </w:rPr>
        <w:t>Recurrent-depth evidence at a scale far beyond the proposed local setup.</w:t>
      </w:r>
    </w:p>
    <w:p>
      <w:pPr>
        <w:spacing w:after="160" w:line="247" w:lineRule="auto"/>
      </w:pPr>
      <w:r>
        <w:rPr>
          <w:b/>
          <w:sz w:val="19"/>
        </w:rPr>
        <w:t xml:space="preserve">[13] 2023. </w:t>
      </w:r>
      <w:hyperlink ns2:id="rId33">
        <w:r>
          <w:rPr>
            <w:color w:val="245A81"/>
            <w:u w:val="single"/>
          </w:rPr>
          <w:t>MQuAKE</w:t>
        </w:r>
      </w:hyperlink>
      <w:r>
        <w:rPr>
          <w:sz w:val="19"/>
        </w:rPr>
        <w:t xml:space="preserve">. </w:t>
      </w:r>
      <w:r>
        <w:rPr>
          <w:sz w:val="19"/>
        </w:rPr>
        <w:t>Knowledge edits must propagate to multi-hop consequences.</w:t>
      </w:r>
    </w:p>
    <w:p>
      <w:pPr>
        <w:spacing w:after="160" w:line="247" w:lineRule="auto"/>
      </w:pPr>
      <w:r>
        <w:rPr>
          <w:b/>
          <w:sz w:val="19"/>
        </w:rPr>
        <w:t xml:space="preserve">[14] 2025. </w:t>
      </w:r>
      <w:hyperlink ns2:id="rId34">
        <w:r>
          <w:rPr>
            <w:color w:val="245A81"/>
            <w:u w:val="single"/>
          </w:rPr>
          <w:t>From RAG to memory</w:t>
        </w:r>
      </w:hyperlink>
      <w:r>
        <w:rPr>
          <w:sz w:val="19"/>
        </w:rPr>
        <w:t xml:space="preserve">. </w:t>
      </w:r>
      <w:r>
        <w:rPr>
          <w:sz w:val="19"/>
        </w:rPr>
        <w:t>HippoRAG 2 supports associative retrieval, with substantial hardware differences.</w:t>
      </w:r>
    </w:p>
    <w:p>
      <w:pPr>
        <w:spacing w:after="160" w:line="247" w:lineRule="auto"/>
      </w:pPr>
      <w:r>
        <w:rPr>
          <w:b/>
          <w:sz w:val="19"/>
        </w:rPr>
        <w:t xml:space="preserve">[29] 2023. </w:t>
      </w:r>
      <w:hyperlink ns2:id="rId20">
        <w:r>
          <w:rPr>
            <w:color w:val="245A81"/>
            <w:u w:val="single"/>
          </w:rPr>
          <w:t>Toolformer</w:t>
        </w:r>
      </w:hyperlink>
      <w:r>
        <w:rPr>
          <w:sz w:val="19"/>
        </w:rPr>
        <w:t xml:space="preserve">. </w:t>
      </w:r>
      <w:r>
        <w:rPr>
          <w:sz w:val="19"/>
        </w:rPr>
        <w:t>Learning API timing, arguments and use of returned results.</w:t>
      </w:r>
    </w:p>
    <w:p>
      <w:pPr>
        <w:spacing w:after="160" w:line="247" w:lineRule="auto"/>
      </w:pPr>
      <w:r>
        <w:rPr>
          <w:b/>
          <w:sz w:val="19"/>
        </w:rPr>
        <w:t xml:space="preserve">[30] 2022. </w:t>
      </w:r>
      <w:hyperlink ns2:id="rId21">
        <w:r>
          <w:rPr>
            <w:color w:val="245A81"/>
            <w:u w:val="single"/>
          </w:rPr>
          <w:t>TALM Tool augmented language models</w:t>
        </w:r>
      </w:hyperlink>
      <w:r>
        <w:rPr>
          <w:sz w:val="19"/>
        </w:rPr>
        <w:t xml:space="preserve">. </w:t>
      </w:r>
      <w:r>
        <w:rPr>
          <w:sz w:val="19"/>
        </w:rPr>
        <w:t>Learning behavior that incorporates external tools.</w:t>
      </w:r>
    </w:p>
    <w:p>
      <w:pPr>
        <w:spacing w:after="160" w:line="247" w:lineRule="auto"/>
      </w:pPr>
      <w:r>
        <w:rPr>
          <w:b/>
          <w:sz w:val="19"/>
        </w:rPr>
        <w:t xml:space="preserve">[31] 2022. </w:t>
      </w:r>
      <w:hyperlink ns2:id="rId28">
        <w:r>
          <w:rPr>
            <w:color w:val="245A81"/>
            <w:u w:val="single"/>
          </w:rPr>
          <w:t>Switch Transformers</w:t>
        </w:r>
      </w:hyperlink>
      <w:r>
        <w:rPr>
          <w:sz w:val="19"/>
        </w:rPr>
        <w:t xml:space="preserve">. </w:t>
      </w:r>
      <w:r>
        <w:rPr>
          <w:sz w:val="19"/>
        </w:rPr>
        <w:t>Sparse activation increases capacity, with routing and training-stability costs.</w:t>
      </w:r>
    </w:p>
    <w:p>
      <w:pPr>
        <w:spacing w:after="160" w:line="247" w:lineRule="auto"/>
      </w:pPr>
      <w:r>
        <w:rPr>
          <w:b/>
          <w:sz w:val="19"/>
        </w:rPr>
        <w:t xml:space="preserve">[32] 2022. </w:t>
      </w:r>
      <w:hyperlink ns2:id="rId29">
        <w:r>
          <w:rPr>
            <w:color w:val="245A81"/>
            <w:u w:val="single"/>
          </w:rPr>
          <w:t>DeepNet Scaling Transformers to 1000 layers</w:t>
        </w:r>
      </w:hyperlink>
      <w:r>
        <w:rPr>
          <w:sz w:val="19"/>
        </w:rPr>
        <w:t xml:space="preserve">. </w:t>
      </w:r>
      <w:r>
        <w:rPr>
          <w:sz w:val="19"/>
        </w:rPr>
        <w:t>Depth-specific residual and initialization design; not a local hardware recipe.</w:t>
      </w:r>
    </w:p>
    <w:p>
      <w:pPr>
        <w:pStyle w:val="Heading1"/>
        <w:pageBreakBefore/>
      </w:pPr>
      <w:r>
        <w:t>Primary sources on exploration and memory</w:t>
      </w:r>
    </w:p>
    <w:p>
      <w:r>
        <w:t>The most relevant use of these sources is to choose a simple baseline and identify its limits. More elaborate published systems should be treated as conditional research directions rather than components to import automatically.</w:t>
      </w:r>
    </w:p>
    <w:p>
      <w:pPr>
        <w:spacing w:after="160" w:line="247" w:lineRule="auto"/>
      </w:pPr>
      <w:r>
        <w:rPr>
          <w:b/>
          <w:sz w:val="19"/>
        </w:rPr>
        <w:t xml:space="preserve">[15] 2017. </w:t>
      </w:r>
      <w:hyperlink ns2:id="rId35">
        <w:r>
          <w:rPr>
            <w:color w:val="245A81"/>
            <w:u w:val="single"/>
          </w:rPr>
          <w:t>Thinking fast and slow with deep learning and tree search</w:t>
        </w:r>
      </w:hyperlink>
      <w:r>
        <w:rPr>
          <w:sz w:val="19"/>
        </w:rPr>
        <w:t xml:space="preserve">. </w:t>
      </w:r>
      <w:r>
        <w:rPr>
          <w:sz w:val="19"/>
        </w:rPr>
        <w:t>Expert Iteration separates expensive search from a learned fast policy.</w:t>
      </w:r>
    </w:p>
    <w:p>
      <w:pPr>
        <w:spacing w:after="160" w:line="247" w:lineRule="auto"/>
      </w:pPr>
      <w:r>
        <w:rPr>
          <w:b/>
          <w:sz w:val="19"/>
        </w:rPr>
        <w:t xml:space="preserve">[16] 2018. </w:t>
      </w:r>
      <w:hyperlink ns2:id="rId36">
        <w:r>
          <w:rPr>
            <w:color w:val="245A81"/>
            <w:u w:val="single"/>
          </w:rPr>
          <w:t>Learning to explore via meta policy gradient</w:t>
        </w:r>
      </w:hyperlink>
      <w:r>
        <w:rPr>
          <w:sz w:val="19"/>
        </w:rPr>
        <w:t xml:space="preserve">. </w:t>
      </w:r>
      <w:r>
        <w:rPr>
          <w:sz w:val="19"/>
        </w:rPr>
        <w:t>Exploration optimized for downstream learning in continuous control.</w:t>
      </w:r>
    </w:p>
    <w:p>
      <w:pPr>
        <w:spacing w:after="160" w:line="247" w:lineRule="auto"/>
      </w:pPr>
      <w:r>
        <w:rPr>
          <w:b/>
          <w:sz w:val="19"/>
        </w:rPr>
        <w:t xml:space="preserve">[17] 2024. </w:t>
      </w:r>
      <w:hyperlink ns2:id="rId37">
        <w:r>
          <w:rPr>
            <w:color w:val="245A81"/>
            <w:u w:val="single"/>
          </w:rPr>
          <w:t>Training language models to self-correct via reinforcement learning</w:t>
        </w:r>
      </w:hyperlink>
      <w:r>
        <w:rPr>
          <w:sz w:val="19"/>
        </w:rPr>
        <w:t xml:space="preserve">. </w:t>
      </w:r>
      <w:r>
        <w:rPr>
          <w:sz w:val="19"/>
        </w:rPr>
        <w:t>SCoRe studies correction with outcome feedback.</w:t>
      </w:r>
    </w:p>
    <w:p>
      <w:pPr>
        <w:spacing w:after="160" w:line="247" w:lineRule="auto"/>
      </w:pPr>
      <w:r>
        <w:rPr>
          <w:b/>
          <w:sz w:val="19"/>
        </w:rPr>
        <w:t xml:space="preserve">[18] 2022. </w:t>
      </w:r>
      <w:hyperlink ns2:id="rId38">
        <w:r>
          <w:rPr>
            <w:color w:val="245A81"/>
            <w:u w:val="single"/>
          </w:rPr>
          <w:t>STaR</w:t>
        </w:r>
      </w:hyperlink>
      <w:r>
        <w:rPr>
          <w:sz w:val="19"/>
        </w:rPr>
        <w:t xml:space="preserve">. </w:t>
      </w:r>
      <w:r>
        <w:rPr>
          <w:sz w:val="19"/>
        </w:rPr>
        <w:t>Learning from successful reasoning, including privileged-answer rationalization.</w:t>
      </w:r>
    </w:p>
    <w:p>
      <w:pPr>
        <w:spacing w:after="160" w:line="247" w:lineRule="auto"/>
      </w:pPr>
      <w:r>
        <w:rPr>
          <w:b/>
          <w:sz w:val="19"/>
        </w:rPr>
        <w:t xml:space="preserve">[19] 2022. </w:t>
      </w:r>
      <w:hyperlink ns2:id="rId39">
        <w:r>
          <w:rPr>
            <w:color w:val="245A81"/>
            <w:u w:val="single"/>
          </w:rPr>
          <w:t>Trajectory balance</w:t>
        </w:r>
      </w:hyperlink>
      <w:r>
        <w:rPr>
          <w:sz w:val="19"/>
        </w:rPr>
        <w:t xml:space="preserve">. </w:t>
      </w:r>
      <w:r>
        <w:rPr>
          <w:sz w:val="19"/>
        </w:rPr>
        <w:t>GFlowNet training for multiple reward-weighted solution modes.</w:t>
      </w:r>
    </w:p>
    <w:p>
      <w:pPr>
        <w:spacing w:after="160" w:line="247" w:lineRule="auto"/>
      </w:pPr>
      <w:r>
        <w:rPr>
          <w:b/>
          <w:sz w:val="19"/>
        </w:rPr>
        <w:t xml:space="preserve">[20] 2021. </w:t>
      </w:r>
      <w:hyperlink ns2:id="rId40">
        <w:r>
          <w:rPr>
            <w:color w:val="245A81"/>
            <w:u w:val="single"/>
          </w:rPr>
          <w:t>Training verifiers to solve math word problems</w:t>
        </w:r>
      </w:hyperlink>
      <w:r>
        <w:rPr>
          <w:sz w:val="19"/>
        </w:rPr>
        <w:t xml:space="preserve">. </w:t>
      </w:r>
      <w:r>
        <w:rPr>
          <w:sz w:val="19"/>
        </w:rPr>
        <w:t>Learned selection can help without becoming a correctness certificate.</w:t>
      </w:r>
    </w:p>
    <w:p>
      <w:pPr>
        <w:spacing w:after="160" w:line="247" w:lineRule="auto"/>
      </w:pPr>
      <w:r>
        <w:rPr>
          <w:b/>
          <w:sz w:val="19"/>
        </w:rPr>
        <w:t xml:space="preserve">[21] 2023. </w:t>
      </w:r>
      <w:hyperlink ns2:id="rId41">
        <w:r>
          <w:rPr>
            <w:color w:val="245A81"/>
            <w:u w:val="single"/>
          </w:rPr>
          <w:t>Let us verify step by step</w:t>
        </w:r>
      </w:hyperlink>
      <w:r>
        <w:rPr>
          <w:sz w:val="19"/>
        </w:rPr>
        <w:t xml:space="preserve">. </w:t>
      </w:r>
      <w:r>
        <w:rPr>
          <w:sz w:val="19"/>
        </w:rPr>
        <w:t>Process supervision for mathematical reasoning.</w:t>
      </w:r>
    </w:p>
    <w:p>
      <w:pPr>
        <w:spacing w:after="160" w:line="247" w:lineRule="auto"/>
      </w:pPr>
      <w:r>
        <w:rPr>
          <w:b/>
          <w:sz w:val="19"/>
        </w:rPr>
        <w:t xml:space="preserve">[22] 2022. </w:t>
      </w:r>
      <w:hyperlink ns2:id="rId43">
        <w:r>
          <w:rPr>
            <w:color w:val="245A81"/>
            <w:u w:val="single"/>
          </w:rPr>
          <w:t>Scaling laws for reward model overoptimization</w:t>
        </w:r>
      </w:hyperlink>
      <w:r>
        <w:rPr>
          <w:sz w:val="19"/>
        </w:rPr>
        <w:t xml:space="preserve">. </w:t>
      </w:r>
      <w:r>
        <w:rPr>
          <w:sz w:val="19"/>
        </w:rPr>
        <w:t>Optimizing a learned proxy can diverge from true quality.</w:t>
      </w:r>
    </w:p>
    <w:p>
      <w:pPr>
        <w:spacing w:after="160" w:line="247" w:lineRule="auto"/>
      </w:pPr>
      <w:r>
        <w:rPr>
          <w:b/>
          <w:sz w:val="19"/>
        </w:rPr>
        <w:t xml:space="preserve">[23] 2019. </w:t>
      </w:r>
      <w:hyperlink ns2:id="rId44">
        <w:r>
          <w:rPr>
            <w:color w:val="245A81"/>
            <w:u w:val="single"/>
          </w:rPr>
          <w:t>Episodic memory in lifelong language learning</w:t>
        </w:r>
      </w:hyperlink>
      <w:r>
        <w:rPr>
          <w:sz w:val="19"/>
        </w:rPr>
        <w:t xml:space="preserve">. </w:t>
      </w:r>
      <w:r>
        <w:rPr>
          <w:sz w:val="19"/>
        </w:rPr>
        <w:t>Replay as a baseline for mitigating forgetting in language tasks.</w:t>
      </w:r>
    </w:p>
    <w:p>
      <w:pPr>
        <w:spacing w:after="160" w:line="247" w:lineRule="auto"/>
      </w:pPr>
      <w:r>
        <w:rPr>
          <w:b/>
          <w:sz w:val="19"/>
        </w:rPr>
        <w:t xml:space="preserve">[24] 2019. </w:t>
      </w:r>
      <w:hyperlink ns2:id="rId46">
        <w:r>
          <w:rPr>
            <w:color w:val="245A81"/>
            <w:u w:val="single"/>
          </w:rPr>
          <w:t>Online continual learning with maximally interfered retrieval</w:t>
        </w:r>
      </w:hyperlink>
      <w:r>
        <w:rPr>
          <w:sz w:val="19"/>
        </w:rPr>
        <w:t xml:space="preserve">. </w:t>
      </w:r>
      <w:r>
        <w:rPr>
          <w:sz w:val="19"/>
        </w:rPr>
        <w:t>Replay examples threatened by a prospective update.</w:t>
      </w:r>
    </w:p>
    <w:p>
      <w:pPr>
        <w:spacing w:after="160" w:line="247" w:lineRule="auto"/>
      </w:pPr>
      <w:r>
        <w:rPr>
          <w:b/>
          <w:sz w:val="19"/>
        </w:rPr>
        <w:t xml:space="preserve">[25] 2020. </w:t>
      </w:r>
      <w:hyperlink ns2:id="rId47">
        <w:r>
          <w:rPr>
            <w:color w:val="245A81"/>
            <w:u w:val="single"/>
          </w:rPr>
          <w:t>Dark experience for general continual learning</w:t>
        </w:r>
      </w:hyperlink>
      <w:r>
        <w:rPr>
          <w:sz w:val="19"/>
        </w:rPr>
        <w:t xml:space="preserve">. </w:t>
      </w:r>
      <w:r>
        <w:rPr>
          <w:sz w:val="19"/>
        </w:rPr>
        <w:t>DER and DER++ combine retained outputs and supervised replay.</w:t>
      </w:r>
    </w:p>
    <w:p>
      <w:pPr>
        <w:spacing w:after="160" w:line="247" w:lineRule="auto"/>
      </w:pPr>
      <w:r>
        <w:rPr>
          <w:b/>
          <w:sz w:val="19"/>
        </w:rPr>
        <w:t xml:space="preserve">[26] 2025. </w:t>
      </w:r>
      <w:hyperlink ns2:id="rId49">
        <w:r>
          <w:rPr>
            <w:color w:val="245A81"/>
            <w:u w:val="single"/>
          </w:rPr>
          <w:t>Sleep-time compute</w:t>
        </w:r>
      </w:hyperlink>
      <w:r>
        <w:rPr>
          <w:sz w:val="19"/>
        </w:rPr>
        <w:t xml:space="preserve">. </w:t>
      </w:r>
      <w:r>
        <w:rPr>
          <w:sz w:val="19"/>
        </w:rPr>
        <w:t>Offline context preparation, distinct from demonstrated weight consolidation.</w:t>
      </w:r>
    </w:p>
    <w:p>
      <w:pPr>
        <w:spacing w:after="160" w:line="247" w:lineRule="auto"/>
      </w:pPr>
      <w:r>
        <w:rPr>
          <w:b/>
          <w:sz w:val="19"/>
        </w:rPr>
        <w:t xml:space="preserve">[27] 2025. </w:t>
      </w:r>
      <w:hyperlink ns2:id="rId50">
        <w:r>
          <w:rPr>
            <w:color w:val="245A81"/>
            <w:u w:val="single"/>
          </w:rPr>
          <w:t>Self-adapting language models</w:t>
        </w:r>
      </w:hyperlink>
      <w:r>
        <w:rPr>
          <w:sz w:val="19"/>
        </w:rPr>
        <w:t xml:space="preserve">. </w:t>
      </w:r>
      <w:r>
        <w:rPr>
          <w:sz w:val="19"/>
        </w:rPr>
        <w:t>SEAL explores self-adaptation and its forgetting limits.</w:t>
      </w:r>
    </w:p>
    <w:p>
      <w:pPr>
        <w:spacing w:after="160" w:line="247" w:lineRule="auto"/>
      </w:pPr>
      <w:r>
        <w:rPr>
          <w:b/>
          <w:sz w:val="19"/>
        </w:rPr>
        <w:t xml:space="preserve">[28] 2021. </w:t>
      </w:r>
      <w:hyperlink ns2:id="rId45">
        <w:r>
          <w:rPr>
            <w:color w:val="245A81"/>
            <w:u w:val="single"/>
          </w:rPr>
          <w:t>Extracting training data from large language models</w:t>
        </w:r>
      </w:hyperlink>
      <w:r>
        <w:rPr>
          <w:sz w:val="19"/>
        </w:rPr>
        <w:t xml:space="preserve">. </w:t>
      </w:r>
      <w:r>
        <w:rPr>
          <w:sz w:val="19"/>
        </w:rPr>
        <w:t>Factual rehearsal in weights carries retention and privacy implications.</w:t>
      </w:r>
    </w:p>
    <w:p>
      <w:pPr>
        <w:pStyle w:val="Heading1"/>
        <w:pageBreakBefore/>
      </w:pPr>
      <w:r>
        <w:t>Primary sources on rapid learning and exact output</w:t>
      </w:r>
    </w:p>
    <w:p>
      <w:r>
        <w:t>These sources distinguish a promising learning mechanism from a demonstrated capability. Their task families, feedback assumptions and training costs matter as much as the speed of their online adaptation.</w:t>
      </w:r>
    </w:p>
    <w:p>
      <w:pPr>
        <w:spacing w:after="160" w:line="247" w:lineRule="auto"/>
      </w:pPr>
      <w:r>
        <w:rPr>
          <w:b/>
          <w:sz w:val="19"/>
        </w:rPr>
        <w:t xml:space="preserve">[33] 2017. </w:t>
      </w:r>
      <w:hyperlink ns2:id="rId23">
        <w:r>
          <w:rPr>
            <w:color w:val="245A81"/>
            <w:u w:val="single"/>
          </w:rPr>
          <w:t>Model agnostic meta learning for fast adaptation of deep networks</w:t>
        </w:r>
      </w:hyperlink>
      <w:r>
        <w:rPr>
          <w:sz w:val="19"/>
        </w:rPr>
        <w:t xml:space="preserve">. </w:t>
      </w:r>
      <w:r>
        <w:rPr>
          <w:sz w:val="19"/>
        </w:rPr>
        <w:t>Offline optimization for useful few-step adaptation, not arbitrary method acquisition.</w:t>
      </w:r>
    </w:p>
    <w:p>
      <w:pPr>
        <w:spacing w:after="160" w:line="247" w:lineRule="auto"/>
      </w:pPr>
      <w:r>
        <w:rPr>
          <w:b/>
          <w:sz w:val="19"/>
        </w:rPr>
        <w:t xml:space="preserve">[34] 2019. </w:t>
      </w:r>
      <w:hyperlink ns2:id="rId24">
        <w:r>
          <w:rPr>
            <w:color w:val="245A81"/>
            <w:u w:val="single"/>
          </w:rPr>
          <w:t>Meta learning representations for continual learning</w:t>
        </w:r>
      </w:hyperlink>
      <w:r>
        <w:rPr>
          <w:sz w:val="19"/>
        </w:rPr>
        <w:t xml:space="preserve">. </w:t>
      </w:r>
      <w:r>
        <w:rPr>
          <w:sz w:val="19"/>
        </w:rPr>
        <w:t xml:space="preserve">OML studies online learning and interference. Author-reported meta-gradient correction: </w:t>
      </w:r>
      <w:hyperlink ns2:id="rId55">
        <w:r>
          <w:rPr>
            <w:color w:val="245A81"/>
            <w:u w:val="single"/>
          </w:rPr>
          <w:t>Official reference</w:t>
        </w:r>
      </w:hyperlink>
      <w:r>
        <w:rPr>
          <w:sz w:val="19"/>
        </w:rPr>
      </w:r>
    </w:p>
    <w:p>
      <w:pPr>
        <w:spacing w:after="160" w:line="247" w:lineRule="auto"/>
      </w:pPr>
      <w:r>
        <w:rPr>
          <w:b/>
          <w:sz w:val="19"/>
        </w:rPr>
        <w:t xml:space="preserve">[35] 2020. </w:t>
      </w:r>
      <w:hyperlink ns2:id="rId25">
        <w:r>
          <w:rPr>
            <w:color w:val="245A81"/>
            <w:u w:val="single"/>
          </w:rPr>
          <w:t>Learning to continually learn</w:t>
        </w:r>
      </w:hyperlink>
      <w:r>
        <w:rPr>
          <w:sz w:val="19"/>
        </w:rPr>
        <w:t xml:space="preserve">. </w:t>
      </w:r>
      <w:r>
        <w:rPr>
          <w:sz w:val="19"/>
        </w:rPr>
        <w:t>ANML removes task IDs in classification; broader reasoning transfer remains open.</w:t>
      </w:r>
    </w:p>
    <w:p>
      <w:pPr>
        <w:spacing w:after="160" w:line="247" w:lineRule="auto"/>
      </w:pPr>
      <w:r>
        <w:rPr>
          <w:b/>
          <w:sz w:val="19"/>
        </w:rPr>
        <w:t xml:space="preserve">[36] 2021. </w:t>
      </w:r>
      <w:hyperlink ns2:id="rId26">
        <w:r>
          <w:rPr>
            <w:color w:val="245A81"/>
            <w:u w:val="single"/>
          </w:rPr>
          <w:t>Linear transformers are secretly fast weight programmers</w:t>
        </w:r>
      </w:hyperlink>
      <w:r>
        <w:rPr>
          <w:sz w:val="19"/>
        </w:rPr>
        <w:t xml:space="preserve">. </w:t>
      </w:r>
      <w:r>
        <w:rPr>
          <w:sz w:val="19"/>
        </w:rPr>
        <w:t>Error-correcting fast associations, with finite-memory interference.</w:t>
      </w:r>
    </w:p>
    <w:p>
      <w:pPr>
        <w:spacing w:after="160" w:line="247" w:lineRule="auto"/>
      </w:pPr>
      <w:r>
        <w:rPr>
          <w:b/>
          <w:sz w:val="19"/>
        </w:rPr>
        <w:t xml:space="preserve">[37] 2024. </w:t>
      </w:r>
      <w:hyperlink ns2:id="rId27">
        <w:r>
          <w:rPr>
            <w:color w:val="245A81"/>
            <w:u w:val="single"/>
          </w:rPr>
          <w:t>Learning to test time learn</w:t>
        </w:r>
      </w:hyperlink>
      <w:r>
        <w:rPr>
          <w:sz w:val="19"/>
        </w:rPr>
        <w:t xml:space="preserve">. </w:t>
      </w:r>
      <w:r>
        <w:rPr>
          <w:sz w:val="19"/>
        </w:rPr>
        <w:t>TTT uses learned inner models as sequence state; context adaptation is not automatically persistent skill learning.</w:t>
      </w:r>
    </w:p>
    <w:p>
      <w:pPr>
        <w:spacing w:after="160" w:line="247" w:lineRule="auto"/>
      </w:pPr>
      <w:r>
        <w:rPr>
          <w:b/>
          <w:sz w:val="19"/>
        </w:rPr>
        <w:t xml:space="preserve">[38] 2017. </w:t>
      </w:r>
      <w:hyperlink ns2:id="rId48">
        <w:r>
          <w:rPr>
            <w:color w:val="245A81"/>
            <w:u w:val="single"/>
          </w:rPr>
          <w:t>Automated curriculum learning for neural networks</w:t>
        </w:r>
      </w:hyperlink>
      <w:r>
        <w:rPr>
          <w:sz w:val="19"/>
        </w:rPr>
        <w:t xml:space="preserve">. </w:t>
      </w:r>
      <w:r>
        <w:rPr>
          <w:sz w:val="19"/>
        </w:rPr>
        <w:t>Learning-progress rewards motivate conditional practice selection.</w:t>
      </w:r>
    </w:p>
    <w:p>
      <w:pPr>
        <w:spacing w:after="160" w:line="247" w:lineRule="auto"/>
      </w:pPr>
      <w:r>
        <w:rPr>
          <w:b/>
          <w:sz w:val="19"/>
        </w:rPr>
        <w:t xml:space="preserve">[39] 2017. </w:t>
      </w:r>
      <w:hyperlink ns2:id="rId42">
        <w:r>
          <w:rPr>
            <w:color w:val="245A81"/>
            <w:u w:val="single"/>
          </w:rPr>
          <w:t>Get to the point</w:t>
        </w:r>
      </w:hyperlink>
      <w:r>
        <w:rPr>
          <w:sz w:val="19"/>
        </w:rPr>
        <w:t xml:space="preserve">. </w:t>
      </w:r>
      <w:r>
        <w:rPr>
          <w:sz w:val="19"/>
        </w:rPr>
        <w:t>Pointer-generator summarization supports exact copying, without ensuring correct source selection.</w:t>
      </w:r>
    </w:p>
    <w:p>
      <w:pPr>
        <w:spacing w:after="160" w:line="247" w:lineRule="auto"/>
      </w:pPr>
      <w:r>
        <w:rPr>
          <w:b/>
          <w:sz w:val="19"/>
        </w:rPr>
        <w:t xml:space="preserve">[40] 2024. </w:t>
      </w:r>
      <w:hyperlink ns2:id="rId16">
        <w:r>
          <w:rPr>
            <w:color w:val="245A81"/>
            <w:u w:val="single"/>
          </w:rPr>
          <w:t>BabyLM Challenge findings</w:t>
        </w:r>
      </w:hyperlink>
      <w:r>
        <w:rPr>
          <w:sz w:val="19"/>
        </w:rPr>
        <w:t xml:space="preserve">. </w:t>
      </w:r>
      <w:r>
        <w:rPr>
          <w:sz w:val="19"/>
        </w:rPr>
        <w:t>Controlled word budgets for sample-efficient language learning; small data does not imply small compute.</w:t>
      </w:r>
    </w:p>
    <w:p>
      <w:pPr>
        <w:spacing w:after="160" w:line="247" w:lineRule="auto"/>
      </w:pPr>
      <w:r>
        <w:rPr>
          <w:b/>
          <w:sz w:val="19"/>
        </w:rPr>
        <w:t xml:space="preserve">[41] 2024. </w:t>
      </w:r>
      <w:hyperlink ns2:id="rId17">
        <w:r>
          <w:rPr>
            <w:color w:val="245A81"/>
            <w:u w:val="single"/>
          </w:rPr>
          <w:t>BERTtime Stories</w:t>
        </w:r>
      </w:hyperlink>
      <w:r>
        <w:rPr>
          <w:sz w:val="19"/>
        </w:rPr>
        <w:t xml:space="preserve">. </w:t>
      </w:r>
      <w:r>
        <w:rPr>
          <w:sz w:val="19"/>
        </w:rPr>
        <w:t>Setting-specific evidence that synthetic story fluency and linguistic understanding can diverge.</w:t>
      </w:r>
    </w:p>
    <w:p>
      <w:pPr>
        <w:spacing w:after="160" w:line="247" w:lineRule="auto"/>
      </w:pPr>
      <w:r>
        <w:rPr>
          <w:b/>
          <w:sz w:val="19"/>
        </w:rPr>
        <w:t xml:space="preserve">[42] 2021. </w:t>
      </w:r>
      <w:hyperlink ns2:id="rId14">
        <w:r>
          <w:rPr>
            <w:color w:val="245A81"/>
            <w:u w:val="single"/>
          </w:rPr>
          <w:t>Are NLP models really able to solve simple math word problems</w:t>
        </w:r>
      </w:hyperlink>
      <w:r>
        <w:rPr>
          <w:sz w:val="19"/>
        </w:rPr>
        <w:t xml:space="preserve">. </w:t>
      </w:r>
      <w:r>
        <w:rPr>
          <w:sz w:val="19"/>
        </w:rPr>
        <w:t>SVAMP motivates question contrasts, grouped variants and checks against superficial shortcuts.</w:t>
      </w:r>
    </w:p>
    <w:p>
      <w:pPr>
        <w:pStyle w:val="Heading2"/>
      </w:pPr>
      <w:r>
        <w:t>Final design judgment</w:t>
      </w:r>
    </w:p>
    <w:p>
      <w:r>
        <w:t>Prioritize current-size reasoning generalization, targeted English improvements where measured errors require them, and fair scaling of a working recipe. Keep notebook facts and verified experiences distinct from retained skills. The shared-transformer input route is implemented; the LR fitting search is stopped under its fixed criterion and fresh transfer remains unproved. Prepare one parent-supplied 16-question arithmetic panel across all eight fixed terminal endpoints. A future adapter or overnight replay needs separate approval and transfer/retention evidence.</w:t>
      </w:r>
    </w:p>
    <w:p>
      <w:r>
        <w:br w:type="page"/>
      </w:r>
    </w:p>
    <w:p>
      <w:pPr>
        <w:pStyle w:val="Heading1"/>
      </w:pPr>
      <w:r>
        <w:t xml:space="preserve">Checked TRAIN diagnosis • 2 October 2026</w:t>
      </w:r>
    </w:p>
    <w:p>
      <w:r>
        <w:t xml:space="preserve">This update concerns the same fixed 32 TRAIN questions in four seed/arm conditions. It uses saved logs and a CPU-only audit. Generalization remains unproved; no consumed, fresh or reserved evaluation was read for this diagnosis.</w:t>
      </w:r>
    </w:p>
    <w:p>
      <w:r>
        <w:t xml:space="preserve">The continuation completed 3072 additional updates per endpoint, from 1024 to 4096, for 12,288 new updates total. Independent recount finds finals 32/32, 32/32, 32/32 and 20/32; complete pairs 16/16, 16/16, 16/16 and 5/16 in seed 0/static, seed 0/contextual, seed 1/static and seed 1/contextual. All task-call counts are 32/32. The all-four fitting gate fails.</w:t>
      </w:r>
    </w:p>
    <w:p>
      <w:pPr>
        <w:pStyle w:val="Heading2"/>
      </w:pPr>
      <w:r>
        <w:t xml:space="preserve">Twelve residual seed 1/contextual failures</w:t>
      </w:r>
    </w:p>
    <w:tbl>
      <w:tblPr>
        <w:tblW w:type="dxa" w:w="10080"/>
        <w:tblLayout w:type="fixed"/>
        <w:tblBorders>
          <w:top w:val="single" w:sz="5" w:color="D9D9D9"/>
          <w:left w:val="single" w:sz="5" w:color="D9D9D9"/>
          <w:bottom w:val="single" w:sz="5" w:color="D9D9D9"/>
          <w:right w:val="single" w:sz="5" w:color="D9D9D9"/>
          <w:insideH w:val="single" w:sz="5" w:color="D9D9D9"/>
          <w:insideV w:val="single" w:sz="5" w:color="D9D9D9"/>
        </w:tblBorders>
      </w:tblPr>
      <w:tblGrid>
        <w:gridCol w:w="3500"/>
        <w:gridCol w:w="2080"/>
        <w:gridCol w:w="900"/>
        <w:gridCol w:w="1800"/>
        <w:gridCol w:w="1800"/>
      </w:tblGrid>
      <w:tr>
        <w:trPr>
          <w:cantSplit/>
          <w:tblHeader/>
        </w:trPr>
        <w:tc>
          <w:tcPr>
            <w:tcW w:type="dxa" w:w="3500"/>
            <w:shd w:val="clear" w:fill="EAF1F8"/>
          </w:tcPr>
          <w:p>
            <w:pPr>
              <w:spacing w:after="60"/>
            </w:pPr>
            <w:r>
              <w:rPr>
                <w:sz w:val="17"/>
                <w:b/>
              </w:rPr>
              <w:t xml:space="preserve">Question ID</w:t>
            </w:r>
          </w:p>
        </w:tc>
        <w:tc>
          <w:tcPr>
            <w:tcW w:type="dxa" w:w="2080"/>
            <w:shd w:val="clear" w:fill="EAF1F8"/>
          </w:tcPr>
          <w:p>
            <w:pPr>
              <w:spacing w:after="60"/>
            </w:pPr>
            <w:r>
              <w:rPr>
                <w:sz w:val="17"/>
                <w:b/>
              </w:rPr>
              <w:t xml:space="preserve">Checked arithmetic</w:t>
            </w:r>
          </w:p>
        </w:tc>
        <w:tc>
          <w:tcPr>
            <w:tcW w:type="dxa" w:w="900"/>
            <w:shd w:val="clear" w:fill="EAF1F8"/>
          </w:tcPr>
          <w:p>
            <w:pPr>
              <w:spacing w:after="60"/>
            </w:pPr>
            <w:r>
              <w:rPr>
                <w:sz w:val="17"/>
                <w:b/>
              </w:rPr>
              <w:t xml:space="preserve">Output</w:t>
            </w:r>
          </w:p>
        </w:tc>
        <w:tc>
          <w:tcPr>
            <w:tcW w:type="dxa" w:w="1800"/>
            <w:shd w:val="clear" w:fill="EAF1F8"/>
          </w:tcPr>
          <w:p>
            <w:pPr>
              <w:spacing w:after="60"/>
            </w:pPr>
            <w:r>
              <w:rPr>
                <w:sz w:val="17"/>
                <w:b/>
              </w:rPr>
              <w:t xml:space="preserve">p(correct)</w:t>
            </w:r>
          </w:p>
        </w:tc>
        <w:tc>
          <w:tcPr>
            <w:tcW w:type="dxa" w:w="1800"/>
            <w:shd w:val="clear" w:fill="EAF1F8"/>
          </w:tcPr>
          <w:p>
            <w:pPr>
              <w:spacing w:after="60"/>
            </w:pPr>
            <w:r>
              <w:rPr>
                <w:sz w:val="17"/>
                <w:b/>
              </w:rPr>
              <w:t xml:space="preserve">p(top choice)</w:t>
            </w:r>
          </w:p>
        </w:tc>
      </w:tr>
      <w:tr>
        <w:trPr>
          <w:cantSplit/>
        </w:trPr>
        <w:tc>
          <w:tcPr>
            <w:tcW w:type="dxa" w:w="3500"/>
          </w:tcPr>
          <w:p>
            <w:pPr>
              <w:spacing w:after="60"/>
            </w:pPr>
            <w:r>
              <w:rPr>
                <w:sz w:val="17"/>
              </w:rPr>
              <w:t xml:space="preserve">train_02_sub</w:t>
            </w:r>
          </w:p>
        </w:tc>
        <w:tc>
          <w:tcPr>
            <w:tcW w:type="dxa" w:w="2080"/>
          </w:tcPr>
          <w:p>
            <w:pPr>
              <w:spacing w:after="60"/>
            </w:pPr>
            <w:r>
              <w:rPr>
                <w:sz w:val="17"/>
              </w:rPr>
              <w:t xml:space="preserve">64−18=46</w:t>
            </w:r>
          </w:p>
        </w:tc>
        <w:tc>
          <w:tcPr>
            <w:tcW w:type="dxa" w:w="900"/>
          </w:tcPr>
          <w:p>
            <w:pPr>
              <w:spacing w:after="60"/>
            </w:pPr>
            <w:r>
              <w:rPr>
                <w:sz w:val="17"/>
              </w:rPr>
              <w:t xml:space="preserve">51</w:t>
            </w:r>
          </w:p>
        </w:tc>
        <w:tc>
          <w:tcPr>
            <w:tcW w:type="dxa" w:w="1800"/>
          </w:tcPr>
          <w:p>
            <w:pPr>
              <w:spacing w:after="60"/>
            </w:pPr>
            <w:r>
              <w:rPr>
                <w:sz w:val="17"/>
              </w:rPr>
              <w:t xml:space="preserve">0.0525</w:t>
            </w:r>
          </w:p>
        </w:tc>
        <w:tc>
          <w:tcPr>
            <w:tcW w:type="dxa" w:w="1800"/>
          </w:tcPr>
          <w:p>
            <w:pPr>
              <w:spacing w:after="60"/>
            </w:pPr>
            <w:r>
              <w:rPr>
                <w:sz w:val="17"/>
              </w:rPr>
              <w:t xml:space="preserve">0.4378</w:t>
            </w:r>
          </w:p>
        </w:tc>
      </w:tr>
      <w:tr>
        <w:trPr>
          <w:cantSplit/>
        </w:trPr>
        <w:tc>
          <w:tcPr>
            <w:tcW w:type="dxa" w:w="3500"/>
          </w:tcPr>
          <w:p>
            <w:pPr>
              <w:spacing w:after="60"/>
            </w:pPr>
            <w:r>
              <w:rPr>
                <w:sz w:val="17"/>
              </w:rPr>
              <w:t xml:space="preserve">coverage_train_01_subtract</w:t>
            </w:r>
          </w:p>
        </w:tc>
        <w:tc>
          <w:tcPr>
            <w:tcW w:type="dxa" w:w="2080"/>
          </w:tcPr>
          <w:p>
            <w:pPr>
              <w:spacing w:after="60"/>
            </w:pPr>
            <w:r>
              <w:rPr>
                <w:sz w:val="17"/>
              </w:rPr>
              <w:t xml:space="preserve">44−27=17</w:t>
            </w:r>
          </w:p>
        </w:tc>
        <w:tc>
          <w:tcPr>
            <w:tcW w:type="dxa" w:w="900"/>
          </w:tcPr>
          <w:p>
            <w:pPr>
              <w:spacing w:after="60"/>
            </w:pPr>
            <w:r>
              <w:rPr>
                <w:sz w:val="17"/>
              </w:rPr>
              <w:t xml:space="preserve">22</w:t>
            </w:r>
          </w:p>
        </w:tc>
        <w:tc>
          <w:tcPr>
            <w:tcW w:type="dxa" w:w="1800"/>
          </w:tcPr>
          <w:p>
            <w:pPr>
              <w:spacing w:after="60"/>
            </w:pPr>
            <w:r>
              <w:rPr>
                <w:sz w:val="17"/>
              </w:rPr>
              <w:t xml:space="preserve">0.0784</w:t>
            </w:r>
          </w:p>
        </w:tc>
        <w:tc>
          <w:tcPr>
            <w:tcW w:type="dxa" w:w="1800"/>
          </w:tcPr>
          <w:p>
            <w:pPr>
              <w:spacing w:after="60"/>
            </w:pPr>
            <w:r>
              <w:rPr>
                <w:sz w:val="17"/>
              </w:rPr>
              <w:t xml:space="preserve">0.7749</w:t>
            </w:r>
          </w:p>
        </w:tc>
      </w:tr>
      <w:tr>
        <w:trPr>
          <w:cantSplit/>
        </w:trPr>
        <w:tc>
          <w:tcPr>
            <w:tcW w:type="dxa" w:w="3500"/>
          </w:tcPr>
          <w:p>
            <w:pPr>
              <w:spacing w:after="60"/>
            </w:pPr>
            <w:r>
              <w:rPr>
                <w:sz w:val="17"/>
              </w:rPr>
              <w:t xml:space="preserve">coverage_train_04_add</w:t>
            </w:r>
          </w:p>
        </w:tc>
        <w:tc>
          <w:tcPr>
            <w:tcW w:type="dxa" w:w="2080"/>
          </w:tcPr>
          <w:p>
            <w:pPr>
              <w:spacing w:after="60"/>
            </w:pPr>
            <w:r>
              <w:rPr>
                <w:sz w:val="17"/>
              </w:rPr>
              <w:t xml:space="preserve">46+24=70</w:t>
            </w:r>
          </w:p>
        </w:tc>
        <w:tc>
          <w:tcPr>
            <w:tcW w:type="dxa" w:w="900"/>
          </w:tcPr>
          <w:p>
            <w:pPr>
              <w:spacing w:after="60"/>
            </w:pPr>
            <w:r>
              <w:rPr>
                <w:sz w:val="17"/>
              </w:rPr>
              <w:t xml:space="preserve">90</w:t>
            </w:r>
          </w:p>
        </w:tc>
        <w:tc>
          <w:tcPr>
            <w:tcW w:type="dxa" w:w="1800"/>
          </w:tcPr>
          <w:p>
            <w:pPr>
              <w:spacing w:after="60"/>
            </w:pPr>
            <w:r>
              <w:rPr>
                <w:sz w:val="17"/>
              </w:rPr>
              <w:t xml:space="preserve">0.2753</w:t>
            </w:r>
          </w:p>
        </w:tc>
        <w:tc>
          <w:tcPr>
            <w:tcW w:type="dxa" w:w="1800"/>
          </w:tcPr>
          <w:p>
            <w:pPr>
              <w:spacing w:after="60"/>
            </w:pPr>
            <w:r>
              <w:rPr>
                <w:sz w:val="17"/>
              </w:rPr>
              <w:t xml:space="preserve">0.5310</w:t>
            </w:r>
          </w:p>
        </w:tc>
      </w:tr>
      <w:tr>
        <w:trPr>
          <w:cantSplit/>
        </w:trPr>
        <w:tc>
          <w:tcPr>
            <w:tcW w:type="dxa" w:w="3500"/>
          </w:tcPr>
          <w:p>
            <w:pPr>
              <w:spacing w:after="60"/>
            </w:pPr>
            <w:r>
              <w:rPr>
                <w:sz w:val="17"/>
              </w:rPr>
              <w:t xml:space="preserve">coverage_train_05_subtract</w:t>
            </w:r>
          </w:p>
        </w:tc>
        <w:tc>
          <w:tcPr>
            <w:tcW w:type="dxa" w:w="2080"/>
          </w:tcPr>
          <w:p>
            <w:pPr>
              <w:spacing w:after="60"/>
            </w:pPr>
            <w:r>
              <w:rPr>
                <w:sz w:val="17"/>
              </w:rPr>
              <w:t xml:space="preserve">57−15=42</w:t>
            </w:r>
          </w:p>
        </w:tc>
        <w:tc>
          <w:tcPr>
            <w:tcW w:type="dxa" w:w="900"/>
          </w:tcPr>
          <w:p>
            <w:pPr>
              <w:spacing w:after="60"/>
            </w:pPr>
            <w:r>
              <w:rPr>
                <w:sz w:val="17"/>
              </w:rPr>
              <w:t xml:space="preserve">44</w:t>
            </w:r>
          </w:p>
        </w:tc>
        <w:tc>
          <w:tcPr>
            <w:tcW w:type="dxa" w:w="1800"/>
          </w:tcPr>
          <w:p>
            <w:pPr>
              <w:spacing w:after="60"/>
            </w:pPr>
            <w:r>
              <w:rPr>
                <w:sz w:val="17"/>
              </w:rPr>
              <w:t xml:space="preserve">0.4548</w:t>
            </w:r>
          </w:p>
        </w:tc>
        <w:tc>
          <w:tcPr>
            <w:tcW w:type="dxa" w:w="1800"/>
          </w:tcPr>
          <w:p>
            <w:pPr>
              <w:spacing w:after="60"/>
            </w:pPr>
            <w:r>
              <w:rPr>
                <w:sz w:val="17"/>
              </w:rPr>
              <w:t xml:space="preserve">0.4912</w:t>
            </w:r>
          </w:p>
        </w:tc>
      </w:tr>
      <w:tr>
        <w:trPr>
          <w:cantSplit/>
        </w:trPr>
        <w:tc>
          <w:tcPr>
            <w:tcW w:type="dxa" w:w="3500"/>
          </w:tcPr>
          <w:p>
            <w:pPr>
              <w:spacing w:after="60"/>
            </w:pPr>
            <w:r>
              <w:rPr>
                <w:sz w:val="17"/>
              </w:rPr>
              <w:t xml:space="preserve">coverage_train_06_add</w:t>
            </w:r>
          </w:p>
        </w:tc>
        <w:tc>
          <w:tcPr>
            <w:tcW w:type="dxa" w:w="2080"/>
          </w:tcPr>
          <w:p>
            <w:pPr>
              <w:spacing w:after="60"/>
            </w:pPr>
            <w:r>
              <w:rPr>
                <w:sz w:val="17"/>
              </w:rPr>
              <w:t xml:space="preserve">68+16=84</w:t>
            </w:r>
          </w:p>
        </w:tc>
        <w:tc>
          <w:tcPr>
            <w:tcW w:type="dxa" w:w="900"/>
          </w:tcPr>
          <w:p>
            <w:pPr>
              <w:spacing w:after="60"/>
            </w:pPr>
            <w:r>
              <w:rPr>
                <w:sz w:val="17"/>
              </w:rPr>
              <w:t xml:space="preserve">82</w:t>
            </w:r>
          </w:p>
        </w:tc>
        <w:tc>
          <w:tcPr>
            <w:tcW w:type="dxa" w:w="1800"/>
          </w:tcPr>
          <w:p>
            <w:pPr>
              <w:spacing w:after="60"/>
            </w:pPr>
            <w:r>
              <w:rPr>
                <w:sz w:val="17"/>
              </w:rPr>
              <w:t xml:space="preserve">0.1545</w:t>
            </w:r>
          </w:p>
        </w:tc>
        <w:tc>
          <w:tcPr>
            <w:tcW w:type="dxa" w:w="1800"/>
          </w:tcPr>
          <w:p>
            <w:pPr>
              <w:spacing w:after="60"/>
            </w:pPr>
            <w:r>
              <w:rPr>
                <w:sz w:val="17"/>
              </w:rPr>
              <w:t xml:space="preserve">0.5415</w:t>
            </w:r>
          </w:p>
        </w:tc>
      </w:tr>
      <w:tr>
        <w:trPr>
          <w:cantSplit/>
        </w:trPr>
        <w:tc>
          <w:tcPr>
            <w:tcW w:type="dxa" w:w="3500"/>
          </w:tcPr>
          <w:p>
            <w:pPr>
              <w:spacing w:after="60"/>
            </w:pPr>
            <w:r>
              <w:rPr>
                <w:sz w:val="17"/>
              </w:rPr>
              <w:t xml:space="preserve">coverage_train_06_subtract</w:t>
            </w:r>
          </w:p>
        </w:tc>
        <w:tc>
          <w:tcPr>
            <w:tcW w:type="dxa" w:w="2080"/>
          </w:tcPr>
          <w:p>
            <w:pPr>
              <w:spacing w:after="60"/>
            </w:pPr>
            <w:r>
              <w:rPr>
                <w:sz w:val="17"/>
              </w:rPr>
              <w:t xml:space="preserve">68−16=52</w:t>
            </w:r>
          </w:p>
        </w:tc>
        <w:tc>
          <w:tcPr>
            <w:tcW w:type="dxa" w:w="900"/>
          </w:tcPr>
          <w:p>
            <w:pPr>
              <w:spacing w:after="60"/>
            </w:pPr>
            <w:r>
              <w:rPr>
                <w:sz w:val="17"/>
              </w:rPr>
              <w:t xml:space="preserve">51</w:t>
            </w:r>
          </w:p>
        </w:tc>
        <w:tc>
          <w:tcPr>
            <w:tcW w:type="dxa" w:w="1800"/>
          </w:tcPr>
          <w:p>
            <w:pPr>
              <w:spacing w:after="60"/>
            </w:pPr>
            <w:r>
              <w:rPr>
                <w:sz w:val="17"/>
              </w:rPr>
              <w:t xml:space="preserve">0.1708</w:t>
            </w:r>
          </w:p>
        </w:tc>
        <w:tc>
          <w:tcPr>
            <w:tcW w:type="dxa" w:w="1800"/>
          </w:tcPr>
          <w:p>
            <w:pPr>
              <w:spacing w:after="60"/>
            </w:pPr>
            <w:r>
              <w:rPr>
                <w:sz w:val="17"/>
              </w:rPr>
              <w:t xml:space="preserve">0.2992</w:t>
            </w:r>
          </w:p>
        </w:tc>
      </w:tr>
      <w:tr>
        <w:trPr>
          <w:cantSplit/>
        </w:trPr>
        <w:tc>
          <w:tcPr>
            <w:tcW w:type="dxa" w:w="3500"/>
          </w:tcPr>
          <w:p>
            <w:pPr>
              <w:spacing w:after="60"/>
            </w:pPr>
            <w:r>
              <w:rPr>
                <w:sz w:val="17"/>
              </w:rPr>
              <w:t xml:space="preserve">coverage_train_07_add</w:t>
            </w:r>
          </w:p>
        </w:tc>
        <w:tc>
          <w:tcPr>
            <w:tcW w:type="dxa" w:w="2080"/>
          </w:tcPr>
          <w:p>
            <w:pPr>
              <w:spacing w:after="60"/>
            </w:pPr>
            <w:r>
              <w:rPr>
                <w:sz w:val="17"/>
              </w:rPr>
              <w:t xml:space="preserve">42+15=57</w:t>
            </w:r>
          </w:p>
        </w:tc>
        <w:tc>
          <w:tcPr>
            <w:tcW w:type="dxa" w:w="900"/>
          </w:tcPr>
          <w:p>
            <w:pPr>
              <w:spacing w:after="60"/>
            </w:pPr>
            <w:r>
              <w:rPr>
                <w:sz w:val="17"/>
              </w:rPr>
              <w:t xml:space="preserve">67</w:t>
            </w:r>
          </w:p>
        </w:tc>
        <w:tc>
          <w:tcPr>
            <w:tcW w:type="dxa" w:w="1800"/>
          </w:tcPr>
          <w:p>
            <w:pPr>
              <w:spacing w:after="60"/>
            </w:pPr>
            <w:r>
              <w:rPr>
                <w:sz w:val="17"/>
              </w:rPr>
              <w:t xml:space="preserve">0.3538</w:t>
            </w:r>
          </w:p>
        </w:tc>
        <w:tc>
          <w:tcPr>
            <w:tcW w:type="dxa" w:w="1800"/>
          </w:tcPr>
          <w:p>
            <w:pPr>
              <w:spacing w:after="60"/>
            </w:pPr>
            <w:r>
              <w:rPr>
                <w:sz w:val="17"/>
              </w:rPr>
              <w:t xml:space="preserve">0.6117</w:t>
            </w:r>
          </w:p>
        </w:tc>
      </w:tr>
      <w:tr>
        <w:trPr>
          <w:cantSplit/>
        </w:trPr>
        <w:tc>
          <w:tcPr>
            <w:tcW w:type="dxa" w:w="3500"/>
          </w:tcPr>
          <w:p>
            <w:pPr>
              <w:spacing w:after="60"/>
            </w:pPr>
            <w:r>
              <w:rPr>
                <w:sz w:val="17"/>
              </w:rPr>
              <w:t xml:space="preserve">coverage_train_08_subtract</w:t>
            </w:r>
          </w:p>
        </w:tc>
        <w:tc>
          <w:tcPr>
            <w:tcW w:type="dxa" w:w="2080"/>
          </w:tcPr>
          <w:p>
            <w:pPr>
              <w:spacing w:after="60"/>
            </w:pPr>
            <w:r>
              <w:rPr>
                <w:sz w:val="17"/>
              </w:rPr>
              <w:t xml:space="preserve">51−26=25</w:t>
            </w:r>
          </w:p>
        </w:tc>
        <w:tc>
          <w:tcPr>
            <w:tcW w:type="dxa" w:w="900"/>
          </w:tcPr>
          <w:p>
            <w:pPr>
              <w:spacing w:after="60"/>
            </w:pPr>
            <w:r>
              <w:rPr>
                <w:sz w:val="17"/>
              </w:rPr>
              <w:t xml:space="preserve">27</w:t>
            </w:r>
          </w:p>
        </w:tc>
        <w:tc>
          <w:tcPr>
            <w:tcW w:type="dxa" w:w="1800"/>
          </w:tcPr>
          <w:p>
            <w:pPr>
              <w:spacing w:after="60"/>
            </w:pPr>
            <w:r>
              <w:rPr>
                <w:sz w:val="17"/>
              </w:rPr>
              <w:t xml:space="preserve">0.1864</w:t>
            </w:r>
          </w:p>
        </w:tc>
        <w:tc>
          <w:tcPr>
            <w:tcW w:type="dxa" w:w="1800"/>
          </w:tcPr>
          <w:p>
            <w:pPr>
              <w:spacing w:after="60"/>
            </w:pPr>
            <w:r>
              <w:rPr>
                <w:sz w:val="17"/>
              </w:rPr>
              <w:t xml:space="preserve">0.7538</w:t>
            </w:r>
          </w:p>
        </w:tc>
      </w:tr>
      <w:tr>
        <w:trPr>
          <w:cantSplit/>
        </w:trPr>
        <w:tc>
          <w:tcPr>
            <w:tcW w:type="dxa" w:w="3500"/>
          </w:tcPr>
          <w:p>
            <w:pPr>
              <w:spacing w:after="60"/>
            </w:pPr>
            <w:r>
              <w:rPr>
                <w:sz w:val="17"/>
              </w:rPr>
              <w:t xml:space="preserve">coverage_train_09_add</w:t>
            </w:r>
          </w:p>
        </w:tc>
        <w:tc>
          <w:tcPr>
            <w:tcW w:type="dxa" w:w="2080"/>
          </w:tcPr>
          <w:p>
            <w:pPr>
              <w:spacing w:after="60"/>
            </w:pPr>
            <w:r>
              <w:rPr>
                <w:sz w:val="17"/>
              </w:rPr>
              <w:t xml:space="preserve">60+18=78</w:t>
            </w:r>
          </w:p>
        </w:tc>
        <w:tc>
          <w:tcPr>
            <w:tcW w:type="dxa" w:w="900"/>
          </w:tcPr>
          <w:p>
            <w:pPr>
              <w:spacing w:after="60"/>
            </w:pPr>
            <w:r>
              <w:rPr>
                <w:sz w:val="17"/>
              </w:rPr>
              <w:t xml:space="preserve">77</w:t>
            </w:r>
          </w:p>
        </w:tc>
        <w:tc>
          <w:tcPr>
            <w:tcW w:type="dxa" w:w="1800"/>
          </w:tcPr>
          <w:p>
            <w:pPr>
              <w:spacing w:after="60"/>
            </w:pPr>
            <w:r>
              <w:rPr>
                <w:sz w:val="17"/>
              </w:rPr>
              <w:t xml:space="preserve">0.0682</w:t>
            </w:r>
          </w:p>
        </w:tc>
        <w:tc>
          <w:tcPr>
            <w:tcW w:type="dxa" w:w="1800"/>
          </w:tcPr>
          <w:p>
            <w:pPr>
              <w:spacing w:after="60"/>
            </w:pPr>
            <w:r>
              <w:rPr>
                <w:sz w:val="17"/>
              </w:rPr>
              <w:t xml:space="preserve">0.7791</w:t>
            </w:r>
          </w:p>
        </w:tc>
      </w:tr>
      <w:tr>
        <w:trPr>
          <w:cantSplit/>
        </w:trPr>
        <w:tc>
          <w:tcPr>
            <w:tcW w:type="dxa" w:w="3500"/>
          </w:tcPr>
          <w:p>
            <w:pPr>
              <w:spacing w:after="60"/>
            </w:pPr>
            <w:r>
              <w:rPr>
                <w:sz w:val="17"/>
              </w:rPr>
              <w:t xml:space="preserve">coverage_train_10_subtract</w:t>
            </w:r>
          </w:p>
        </w:tc>
        <w:tc>
          <w:tcPr>
            <w:tcW w:type="dxa" w:w="2080"/>
          </w:tcPr>
          <w:p>
            <w:pPr>
              <w:spacing w:after="60"/>
            </w:pPr>
            <w:r>
              <w:rPr>
                <w:sz w:val="17"/>
              </w:rPr>
              <w:t xml:space="preserve">43−12=31</w:t>
            </w:r>
          </w:p>
        </w:tc>
        <w:tc>
          <w:tcPr>
            <w:tcW w:type="dxa" w:w="900"/>
          </w:tcPr>
          <w:p>
            <w:pPr>
              <w:spacing w:after="60"/>
            </w:pPr>
            <w:r>
              <w:rPr>
                <w:sz w:val="17"/>
              </w:rPr>
              <w:t xml:space="preserve">27</w:t>
            </w:r>
          </w:p>
        </w:tc>
        <w:tc>
          <w:tcPr>
            <w:tcW w:type="dxa" w:w="1800"/>
          </w:tcPr>
          <w:p>
            <w:pPr>
              <w:spacing w:after="60"/>
            </w:pPr>
            <w:r>
              <w:rPr>
                <w:sz w:val="17"/>
              </w:rPr>
              <w:t xml:space="preserve">0.0731</w:t>
            </w:r>
          </w:p>
        </w:tc>
        <w:tc>
          <w:tcPr>
            <w:tcW w:type="dxa" w:w="1800"/>
          </w:tcPr>
          <w:p>
            <w:pPr>
              <w:spacing w:after="60"/>
            </w:pPr>
            <w:r>
              <w:rPr>
                <w:sz w:val="17"/>
              </w:rPr>
              <w:t xml:space="preserve">0.7427</w:t>
            </w:r>
          </w:p>
        </w:tc>
      </w:tr>
      <w:tr>
        <w:trPr>
          <w:cantSplit/>
        </w:trPr>
        <w:tc>
          <w:tcPr>
            <w:tcW w:type="dxa" w:w="3500"/>
          </w:tcPr>
          <w:p>
            <w:pPr>
              <w:spacing w:after="60"/>
            </w:pPr>
            <w:r>
              <w:rPr>
                <w:sz w:val="17"/>
              </w:rPr>
              <w:t xml:space="preserve">coverage_train_11_subtract</w:t>
            </w:r>
          </w:p>
        </w:tc>
        <w:tc>
          <w:tcPr>
            <w:tcW w:type="dxa" w:w="2080"/>
          </w:tcPr>
          <w:p>
            <w:pPr>
              <w:spacing w:after="60"/>
            </w:pPr>
            <w:r>
              <w:rPr>
                <w:sz w:val="17"/>
              </w:rPr>
              <w:t xml:space="preserve">54−13=41</w:t>
            </w:r>
          </w:p>
        </w:tc>
        <w:tc>
          <w:tcPr>
            <w:tcW w:type="dxa" w:w="900"/>
          </w:tcPr>
          <w:p>
            <w:pPr>
              <w:spacing w:after="60"/>
            </w:pPr>
            <w:r>
              <w:rPr>
                <w:sz w:val="17"/>
              </w:rPr>
              <w:t xml:space="preserve">44</w:t>
            </w:r>
          </w:p>
        </w:tc>
        <w:tc>
          <w:tcPr>
            <w:tcW w:type="dxa" w:w="1800"/>
          </w:tcPr>
          <w:p>
            <w:pPr>
              <w:spacing w:after="60"/>
            </w:pPr>
            <w:r>
              <w:rPr>
                <w:sz w:val="17"/>
              </w:rPr>
              <w:t xml:space="preserve">0.0636</w:t>
            </w:r>
          </w:p>
        </w:tc>
        <w:tc>
          <w:tcPr>
            <w:tcW w:type="dxa" w:w="1800"/>
          </w:tcPr>
          <w:p>
            <w:pPr>
              <w:spacing w:after="60"/>
            </w:pPr>
            <w:r>
              <w:rPr>
                <w:sz w:val="17"/>
              </w:rPr>
              <w:t xml:space="preserve">0.6978</w:t>
            </w:r>
          </w:p>
        </w:tc>
      </w:tr>
      <w:tr>
        <w:trPr>
          <w:cantSplit/>
        </w:trPr>
        <w:tc>
          <w:tcPr>
            <w:tcW w:type="dxa" w:w="3500"/>
          </w:tcPr>
          <w:p>
            <w:pPr>
              <w:spacing w:after="60"/>
            </w:pPr>
            <w:r>
              <w:rPr>
                <w:sz w:val="17"/>
              </w:rPr>
              <w:t xml:space="preserve">coverage_train_12_add</w:t>
            </w:r>
          </w:p>
        </w:tc>
        <w:tc>
          <w:tcPr>
            <w:tcW w:type="dxa" w:w="2080"/>
          </w:tcPr>
          <w:p>
            <w:pPr>
              <w:spacing w:after="60"/>
            </w:pPr>
            <w:r>
              <w:rPr>
                <w:sz w:val="17"/>
              </w:rPr>
              <w:t xml:space="preserve">65+14=79</w:t>
            </w:r>
          </w:p>
        </w:tc>
        <w:tc>
          <w:tcPr>
            <w:tcW w:type="dxa" w:w="900"/>
          </w:tcPr>
          <w:p>
            <w:pPr>
              <w:spacing w:after="60"/>
            </w:pPr>
            <w:r>
              <w:rPr>
                <w:sz w:val="17"/>
              </w:rPr>
              <w:t xml:space="preserve">77</w:t>
            </w:r>
          </w:p>
        </w:tc>
        <w:tc>
          <w:tcPr>
            <w:tcW w:type="dxa" w:w="1800"/>
          </w:tcPr>
          <w:p>
            <w:pPr>
              <w:spacing w:after="60"/>
            </w:pPr>
            <w:r>
              <w:rPr>
                <w:sz w:val="17"/>
              </w:rPr>
              <w:t xml:space="preserve">0.0243</w:t>
            </w:r>
          </w:p>
        </w:tc>
        <w:tc>
          <w:tcPr>
            <w:tcW w:type="dxa" w:w="1800"/>
          </w:tcPr>
          <w:p>
            <w:pPr>
              <w:spacing w:after="60"/>
            </w:pPr>
            <w:r>
              <w:rPr>
                <w:sz w:val="17"/>
              </w:rPr>
              <w:t xml:space="preserve">0.9616</w:t>
            </w:r>
          </w:p>
        </w:tc>
      </w:tr>
    </w:tbl>
    <w:p>
      <w:r>
        <w:t xml:space="preserve">Each row has a correct executed task call, including operation and operand bindings, and correct EOS. Probabilities are saved teacher-forced values; every first token matches the saved native answer. The full top-two margin was not recorded. No tokenizer, decoder or model was run to reconstruct these integers.</w:t>
      </w:r>
    </w:p>
    <w:p>
      <w:pPr>
        <w:pStyle w:val="Heading2"/>
      </w:pPr>
      <w:r>
        <w:t xml:space="preserve">Measured patterns</w:t>
      </w:r>
    </w:p>
    <w:p>
      <w:r>
        <w:t xml:space="preserve">Seven outputs are above the correct value and five below. Ten of twelve are within 5; six are within 2; mean absolute error is 4.75. None copies an operand, the opposite-operation result or its paired target. Errors span additions/subtractions and all carry/borrow categories. Family rates are 1/4 shelf/rack, 0/4 original role-sensitive relations, 5/12 inventory and 6/12 role-sensitive comparisons; these small counts do not establish a semantic mechanism.</w:t>
      </w:r>
    </w:p>
    <w:p>
      <w:r>
        <w:t xml:space="preserve">All twelve rows are correct in the other three final checkpoints. At 1024, those same twelve rows were correct 4/12, 1/12, 0/12 and 1/12 across the four conditions. The ten other pair siblings are correct in all four final checkpoints. One row, coverage_train_08_subtract, regressed from correct 25 at 1024 to 27 at 4096. The model still emits 42 correctly for coverage_train_09_subtract while emitting 44 for coverage_train_05_subtract, so these saved outputs do not show a universal inability to emit 42.</w:t>
      </w:r>
    </w:p>
    <w:p>
      <w:r>
        <w:t xml:space="preserve">The saved 12,288-update optimization log audit found finite losses and component gradients throughout. Seed 1/contextual output CE, averaged over the number and EOS tokens, fell across the three matched 1024-update blocks from 1.219535 to 0.865491 to 0.700932; its last 256-update mean was 0.701607. The three other last 256 means were 0.000155, 0.000733 and 0.107610. This remains incomplete fitting. All twelve failed rows changed predicted number tokens in their final 32 pre-update TRAIN visits: 199 switches, 134/384 correct visits. The larger set had 380 switches for seed 1/contextual versus 226 for seed 1/static, 21 for seed 0/contextual and 0 for seed 0/static. Loss and gradient spikes also occurred in seed 1/static, which finishes 32/32; spike amplitude alone therefore does not explain the residual failures. These training-state measurements do not demonstrate nondeterministic final decoding or establish a learning-rate, representation or interference cause. Gradients combine answer and task-call losses, so they do not isolate one component.</w:t>
      </w:r>
    </w:p>
    <w:p>
      <w:pPr>
        <w:pStyle w:val="Heading2"/>
      </w:pPr>
      <w:r>
        <w:t xml:space="preserve">Operational closure and next decision</w:t>
      </w:r>
    </w:p>
    <w:p>
      <w:r>
        <w:t xml:space="preserve">All eight source/final checkpoint pins and saved model/Adam/RNG state were independently checked. The original worker failed after the four endpoint receipts when its aggregate receipt writer compared 101,535,744 bytes of combined raw receipts with the 67,108,864-byte per-endpoint cap. Both owned processes exited 1; workers and lock are absent. Original failed accounting and the uncertain queue are preserved; no aggregate success or replay is claimed.</w:t>
      </w:r>
    </w:p>
    <w:p>
      <w:r>
        <w:t xml:space="preserve">The isolated v2 receipt-scope repair passed all nine unchanged Windows CPU regression tests with zero skips, native exit 0 and 2.125 seconds wall. Tests used 124 MiB of temporary fixtures, which were fully cleaned, and retained 118,784 bytes. All four original queue file hashes were unchanged before and after. Zero Torch, model, optimizer, decoder or GPU calls occurred. The repair is native-CPU-qualified for prospective integration; no new experiment, queue promotion or GPU authorization was created.</w:t>
      </w:r>
    </w:p>
    <w:p>
      <w:r>
        <w:t xml:space="preserve">Measured run resources remain within authority: 4,206.843 seconds wall, 402,612,224 bytes conservative aggregate including control reserve, 4,842,323,968 bytes peak CUDA reservation, and no new spending. Existing rental billing remains provisional and its reservation held.</w:t>
      </w:r>
    </w:p>
    <w:p>
      <w:r>
        <w:t xml:space="preserve">Derek’s next decision is a minimal matched successor addressing the remaining readout fitting error. Insufficient optimization, overlapping representations and other mechanisms remain hypotheses. Saved gradients do not isolate the decoder interface from reader/core/result use. This CPU diagnosis selects no architecture, loss, data or reasoning change and authorizes no GPU dispatch.</w:t>
      </w:r>
    </w:p>
    <w:p>
      <w:r>
        <w:t xml:space="preserve">Evidence: TRAIN-READOUT-DIAGNOSIS-v1/COMPACT-TABLE-v1.md contains the full 22-row × 8-checkpoint comparison. SAVED-TRAIN-READOUT-DIAGNOSIS-v1.json binds all 256 saved token/probability rows. DEREK-TRAIN-READOUT-PINS-v1.json records exact TRAIN data, code, cache, recipe and eight checkpoint identities. Native qualification and optimization-audit receipts sit beside these files under artifacts/cap256-launch/contextual-input-compare-v1/TRAIN-CONTINUATION-EXECUTION-v1/.</w:t>
      </w:r>
    </w:p>
    <w:p>
      <w:r>
        <w:br w:type="page"/>
      </w:r>
    </w:p>
    <w:p>
      <w:pPr>
        <w:pStyle w:val="Heading1"/>
      </w:pPr>
      <w:r>
        <w:t xml:space="preserve">Checked terminal LR comparison • 2 October 2026</w:t>
      </w:r>
    </w:p>
    <w:p>
      <w:r>
        <w:t xml:space="preserve">All eight prespecified branches completed 1024 additional updates from the same four 4096-update parents. Only LR differs within each fork. Independent recount verifies 24 native TRAIN checks and all 768 answers; no fresh or reserved evaluation was consumed. The previous 4096 diagnosis above remains historical evidence.</w:t>
      </w:r>
    </w:p>
    <w:tbl>
      <w:tblPr>
        <w:tblW w:type="dxa" w:w="10080"/>
        <w:tblLayout w:type="fixed"/>
        <w:tblBorders>
          <w:top w:val="single" w:sz="5" w:color="D9D9D9"/>
          <w:left w:val="single" w:sz="5" w:color="D9D9D9"/>
          <w:bottom w:val="single" w:sz="5" w:color="D9D9D9"/>
          <w:right w:val="single" w:sz="5" w:color="D9D9D9"/>
          <w:insideH w:val="single" w:sz="5" w:color="D9D9D9"/>
          <w:insideV w:val="single" w:sz="5" w:color="D9D9D9"/>
        </w:tblBorders>
      </w:tblPr>
      <w:tblGrid>
        <w:gridCol w:w="2600"/>
        <w:gridCol w:w="1800"/>
        <w:gridCol w:w="1800"/>
        <w:gridCol w:w="3880"/>
      </w:tblGrid>
      <w:tr>
        <w:trPr>
          <w:cantSplit/>
          <w:tblHeader/>
        </w:trPr>
        <w:tc>
          <w:tcPr>
            <w:tcW w:type="dxa" w:w="2600"/>
            <w:shd w:val="clear" w:fill="EAF1F8"/>
          </w:tcPr>
          <w:p>
            <w:pPr>
              <w:spacing w:after="60"/>
            </w:pPr>
            <w:r>
              <w:rPr>
                <w:sz w:val="17"/>
                <w:b/>
              </w:rPr>
              <w:t xml:space="preserve">Seed/input</w:t>
            </w:r>
          </w:p>
        </w:tc>
        <w:tc>
          <w:tcPr>
            <w:tcW w:type="dxa" w:w="1800"/>
            <w:shd w:val="clear" w:fill="EAF1F8"/>
          </w:tcPr>
          <w:p>
            <w:pPr>
              <w:spacing w:after="60"/>
            </w:pPr>
            <w:r>
              <w:rPr>
                <w:sz w:val="17"/>
                <w:b/>
              </w:rPr>
              <w:t xml:space="preserve">Control 0.001</w:t>
            </w:r>
          </w:p>
        </w:tc>
        <w:tc>
          <w:tcPr>
            <w:tcW w:type="dxa" w:w="1800"/>
            <w:shd w:val="clear" w:fill="EAF1F8"/>
          </w:tcPr>
          <w:p>
            <w:pPr>
              <w:spacing w:after="60"/>
            </w:pPr>
            <w:r>
              <w:rPr>
                <w:sz w:val="17"/>
                <w:b/>
              </w:rPr>
              <w:t xml:space="preserve">Low LR 0.0001</w:t>
            </w:r>
          </w:p>
        </w:tc>
        <w:tc>
          <w:tcPr>
            <w:tcW w:type="dxa" w:w="3880"/>
            <w:shd w:val="clear" w:fill="EAF1F8"/>
          </w:tcPr>
          <w:p>
            <w:pPr>
              <w:spacing w:after="60"/>
            </w:pPr>
            <w:r>
              <w:rPr>
                <w:sz w:val="17"/>
                <w:b/>
              </w:rPr>
              <w:t xml:space="preserve">Stable at all three checks</w:t>
            </w:r>
          </w:p>
        </w:tc>
      </w:tr>
      <w:tr>
        <w:trPr>
          <w:cantSplit/>
        </w:trPr>
        <w:tc>
          <w:tcPr>
            <w:tcW w:type="dxa" w:w="2600"/>
          </w:tcPr>
          <w:p>
            <w:pPr>
              <w:spacing w:after="60"/>
            </w:pPr>
            <w:r>
              <w:rPr>
                <w:sz w:val="17"/>
              </w:rPr>
              <w:t xml:space="preserve">0/static</w:t>
            </w:r>
          </w:p>
        </w:tc>
        <w:tc>
          <w:tcPr>
            <w:tcW w:type="dxa" w:w="1800"/>
          </w:tcPr>
          <w:p>
            <w:pPr>
              <w:spacing w:after="60"/>
            </w:pPr>
            <w:r>
              <w:rPr>
                <w:sz w:val="17"/>
              </w:rPr>
              <w:t xml:space="preserve">32/32</w:t>
            </w:r>
          </w:p>
        </w:tc>
        <w:tc>
          <w:tcPr>
            <w:tcW w:type="dxa" w:w="1800"/>
          </w:tcPr>
          <w:p>
            <w:pPr>
              <w:spacing w:after="60"/>
            </w:pPr>
            <w:r>
              <w:rPr>
                <w:sz w:val="17"/>
              </w:rPr>
              <w:t xml:space="preserve">32/32</w:t>
            </w:r>
          </w:p>
        </w:tc>
        <w:tc>
          <w:tcPr>
            <w:tcW w:type="dxa" w:w="3880"/>
          </w:tcPr>
          <w:p>
            <w:pPr>
              <w:spacing w:after="60"/>
            </w:pPr>
            <w:r>
              <w:rPr>
                <w:sz w:val="17"/>
              </w:rPr>
              <w:t xml:space="preserve">Both</w:t>
            </w:r>
          </w:p>
        </w:tc>
      </w:tr>
      <w:tr>
        <w:trPr>
          <w:cantSplit/>
        </w:trPr>
        <w:tc>
          <w:tcPr>
            <w:tcW w:type="dxa" w:w="2600"/>
          </w:tcPr>
          <w:p>
            <w:pPr>
              <w:spacing w:after="60"/>
            </w:pPr>
            <w:r>
              <w:rPr>
                <w:sz w:val="17"/>
              </w:rPr>
              <w:t xml:space="preserve">0/contextual</w:t>
            </w:r>
          </w:p>
        </w:tc>
        <w:tc>
          <w:tcPr>
            <w:tcW w:type="dxa" w:w="1800"/>
          </w:tcPr>
          <w:p>
            <w:pPr>
              <w:spacing w:after="60"/>
            </w:pPr>
            <w:r>
              <w:rPr>
                <w:sz w:val="17"/>
              </w:rPr>
              <w:t xml:space="preserve">32/32</w:t>
            </w:r>
          </w:p>
        </w:tc>
        <w:tc>
          <w:tcPr>
            <w:tcW w:type="dxa" w:w="1800"/>
          </w:tcPr>
          <w:p>
            <w:pPr>
              <w:spacing w:after="60"/>
            </w:pPr>
            <w:r>
              <w:rPr>
                <w:sz w:val="17"/>
              </w:rPr>
              <w:t xml:space="preserve">32/32</w:t>
            </w:r>
          </w:p>
        </w:tc>
        <w:tc>
          <w:tcPr>
            <w:tcW w:type="dxa" w:w="3880"/>
          </w:tcPr>
          <w:p>
            <w:pPr>
              <w:spacing w:after="60"/>
            </w:pPr>
            <w:r>
              <w:rPr>
                <w:sz w:val="17"/>
              </w:rPr>
              <w:t xml:space="preserve">Both</w:t>
            </w:r>
          </w:p>
        </w:tc>
      </w:tr>
      <w:tr>
        <w:trPr>
          <w:cantSplit/>
        </w:trPr>
        <w:tc>
          <w:tcPr>
            <w:tcW w:type="dxa" w:w="2600"/>
          </w:tcPr>
          <w:p>
            <w:pPr>
              <w:spacing w:after="60"/>
            </w:pPr>
            <w:r>
              <w:rPr>
                <w:sz w:val="17"/>
              </w:rPr>
              <w:t xml:space="preserve">1/static</w:t>
            </w:r>
          </w:p>
        </w:tc>
        <w:tc>
          <w:tcPr>
            <w:tcW w:type="dxa" w:w="1800"/>
          </w:tcPr>
          <w:p>
            <w:pPr>
              <w:spacing w:after="60"/>
            </w:pPr>
            <w:r>
              <w:rPr>
                <w:sz w:val="17"/>
              </w:rPr>
              <w:t xml:space="preserve">32/32</w:t>
            </w:r>
          </w:p>
        </w:tc>
        <w:tc>
          <w:tcPr>
            <w:tcW w:type="dxa" w:w="1800"/>
          </w:tcPr>
          <w:p>
            <w:pPr>
              <w:spacing w:after="60"/>
            </w:pPr>
            <w:r>
              <w:rPr>
                <w:sz w:val="17"/>
              </w:rPr>
              <w:t xml:space="preserve">32/32</w:t>
            </w:r>
          </w:p>
        </w:tc>
        <w:tc>
          <w:tcPr>
            <w:tcW w:type="dxa" w:w="3880"/>
          </w:tcPr>
          <w:p>
            <w:pPr>
              <w:spacing w:after="60"/>
            </w:pPr>
            <w:r>
              <w:rPr>
                <w:sz w:val="17"/>
              </w:rPr>
              <w:t xml:space="preserve">Both</w:t>
            </w:r>
          </w:p>
        </w:tc>
      </w:tr>
      <w:tr>
        <w:trPr>
          <w:cantSplit/>
        </w:trPr>
        <w:tc>
          <w:tcPr>
            <w:tcW w:type="dxa" w:w="2600"/>
          </w:tcPr>
          <w:p>
            <w:pPr>
              <w:spacing w:after="60"/>
            </w:pPr>
            <w:r>
              <w:rPr>
                <w:sz w:val="17"/>
              </w:rPr>
              <w:t xml:space="preserve">1/contextual</w:t>
            </w:r>
          </w:p>
        </w:tc>
        <w:tc>
          <w:tcPr>
            <w:tcW w:type="dxa" w:w="1800"/>
          </w:tcPr>
          <w:p>
            <w:pPr>
              <w:spacing w:after="60"/>
            </w:pPr>
            <w:r>
              <w:rPr>
                <w:sz w:val="17"/>
              </w:rPr>
              <w:t xml:space="preserve">24/32</w:t>
            </w:r>
          </w:p>
        </w:tc>
        <w:tc>
          <w:tcPr>
            <w:tcW w:type="dxa" w:w="1800"/>
          </w:tcPr>
          <w:p>
            <w:pPr>
              <w:spacing w:after="60"/>
            </w:pPr>
            <w:r>
              <w:rPr>
                <w:sz w:val="17"/>
              </w:rPr>
              <w:t xml:space="preserve">29/32</w:t>
            </w:r>
          </w:p>
        </w:tc>
        <w:tc>
          <w:tcPr>
            <w:tcW w:type="dxa" w:w="3880"/>
          </w:tcPr>
          <w:p>
            <w:pPr>
              <w:spacing w:after="60"/>
            </w:pPr>
            <w:r>
              <w:rPr>
                <w:sz w:val="17"/>
              </w:rPr>
              <w:t xml:space="preserve">Neither</w:t>
            </w:r>
          </w:p>
        </w:tc>
      </w:tr>
    </w:tbl>
    <w:p>
      <w:r>
        <w:t xml:space="preserve">The primary seed 1/contextual trajectories at added updates 768, 896 and 1024 are 22/32 → 23/32 → 24/32 for control and 28/32 → 30/32 → 29/32 for lower LR. Stability required 32/32 at every check. Neither primary branch passes, so the frozen decision is STOP: no more fitting searches. No terminal treatment harm or control regression occurs relative to the matched 4096 parents. This is a TRAIN result, not evidence of transfer or broad English retention.</w:t>
      </w:r>
    </w:p>
    <w:p>
      <w:pPr>
        <w:pStyle w:val="Heading2"/>
      </w:pPr>
      <w:r>
        <w:t xml:space="preserve">Three saved lower-LR TRAIN residuals</w:t>
      </w:r>
    </w:p>
    <w:tbl>
      <w:tblPr>
        <w:tblW w:type="dxa" w:w="10080"/>
        <w:tblLayout w:type="fixed"/>
        <w:tblBorders>
          <w:top w:val="single" w:sz="5" w:color="D9D9D9"/>
          <w:left w:val="single" w:sz="5" w:color="D9D9D9"/>
          <w:bottom w:val="single" w:sz="5" w:color="D9D9D9"/>
          <w:right w:val="single" w:sz="5" w:color="D9D9D9"/>
          <w:insideH w:val="single" w:sz="5" w:color="D9D9D9"/>
          <w:insideV w:val="single" w:sz="5" w:color="D9D9D9"/>
        </w:tblBorders>
      </w:tblPr>
      <w:tblGrid>
        <w:gridCol w:w="3350"/>
        <w:gridCol w:w="2400"/>
        <w:gridCol w:w="1450"/>
        <w:gridCol w:w="2880"/>
      </w:tblGrid>
      <w:tr>
        <w:trPr>
          <w:cantSplit/>
          <w:tblHeader/>
        </w:trPr>
        <w:tc>
          <w:tcPr>
            <w:tcW w:type="dxa" w:w="3350"/>
            <w:shd w:val="clear" w:fill="EAF1F8"/>
          </w:tcPr>
          <w:p>
            <w:pPr>
              <w:spacing w:after="60"/>
            </w:pPr>
            <w:r>
              <w:rPr>
                <w:sz w:val="17"/>
                <w:b/>
              </w:rPr>
              <w:t xml:space="preserve">TRAIN item</w:t>
            </w:r>
          </w:p>
        </w:tc>
        <w:tc>
          <w:tcPr>
            <w:tcW w:type="dxa" w:w="2400"/>
            <w:shd w:val="clear" w:fill="EAF1F8"/>
          </w:tcPr>
          <w:p>
            <w:pPr>
              <w:spacing w:after="60"/>
            </w:pPr>
            <w:r>
              <w:rPr>
                <w:sz w:val="17"/>
                <w:b/>
              </w:rPr>
              <w:t xml:space="preserve">Checked arithmetic</w:t>
            </w:r>
          </w:p>
        </w:tc>
        <w:tc>
          <w:tcPr>
            <w:tcW w:type="dxa" w:w="1450"/>
            <w:shd w:val="clear" w:fill="EAF1F8"/>
          </w:tcPr>
          <w:p>
            <w:pPr>
              <w:spacing w:after="60"/>
            </w:pPr>
            <w:r>
              <w:rPr>
                <w:sz w:val="17"/>
                <w:b/>
              </w:rPr>
              <w:t xml:space="preserve">Final answer</w:t>
            </w:r>
          </w:p>
        </w:tc>
        <w:tc>
          <w:tcPr>
            <w:tcW w:type="dxa" w:w="2880"/>
            <w:shd w:val="clear" w:fill="EAF1F8"/>
          </w:tcPr>
          <w:p>
            <w:pPr>
              <w:spacing w:after="60"/>
            </w:pPr>
            <w:r>
              <w:rPr>
                <w:sz w:val="17"/>
                <w:b/>
              </w:rPr>
              <w:t xml:space="preserve">Independent task signal</w:t>
            </w:r>
          </w:p>
        </w:tc>
      </w:tr>
      <w:tr>
        <w:trPr>
          <w:cantSplit/>
        </w:trPr>
        <w:tc>
          <w:tcPr>
            <w:tcW w:type="dxa" w:w="3350"/>
          </w:tcPr>
          <w:p>
            <w:pPr>
              <w:spacing w:after="60"/>
            </w:pPr>
            <w:r>
              <w:rPr>
                <w:sz w:val="17"/>
              </w:rPr>
              <w:t xml:space="preserve">train_02_sub</w:t>
            </w:r>
          </w:p>
        </w:tc>
        <w:tc>
          <w:tcPr>
            <w:tcW w:type="dxa" w:w="2400"/>
          </w:tcPr>
          <w:p>
            <w:pPr>
              <w:spacing w:after="60"/>
            </w:pPr>
            <w:r>
              <w:rPr>
                <w:sz w:val="17"/>
              </w:rPr>
              <w:t xml:space="preserve">64 − 18 = 46</w:t>
            </w:r>
          </w:p>
        </w:tc>
        <w:tc>
          <w:tcPr>
            <w:tcW w:type="dxa" w:w="1450"/>
          </w:tcPr>
          <w:p>
            <w:pPr>
              <w:spacing w:after="60"/>
            </w:pPr>
            <w:r>
              <w:rPr>
                <w:sz w:val="17"/>
              </w:rPr>
              <w:t xml:space="preserve">51</w:t>
            </w:r>
          </w:p>
        </w:tc>
        <w:tc>
          <w:tcPr>
            <w:tcW w:type="dxa" w:w="2880"/>
          </w:tcPr>
          <w:p>
            <w:pPr>
              <w:spacing w:after="60"/>
            </w:pPr>
            <w:r>
              <w:rPr>
                <w:sz w:val="17"/>
              </w:rPr>
              <w:t xml:space="preserve">SUB result 46; correct</w:t>
            </w:r>
          </w:p>
        </w:tc>
      </w:tr>
      <w:tr>
        <w:trPr>
          <w:cantSplit/>
        </w:trPr>
        <w:tc>
          <w:tcPr>
            <w:tcW w:type="dxa" w:w="3350"/>
          </w:tcPr>
          <w:p>
            <w:pPr>
              <w:spacing w:after="60"/>
            </w:pPr>
            <w:r>
              <w:rPr>
                <w:sz w:val="17"/>
              </w:rPr>
              <w:t xml:space="preserve">coverage_train_05_add</w:t>
            </w:r>
          </w:p>
        </w:tc>
        <w:tc>
          <w:tcPr>
            <w:tcW w:type="dxa" w:w="2400"/>
          </w:tcPr>
          <w:p>
            <w:pPr>
              <w:spacing w:after="60"/>
            </w:pPr>
            <w:r>
              <w:rPr>
                <w:sz w:val="17"/>
              </w:rPr>
              <w:t xml:space="preserve">57 + 15 = 72</w:t>
            </w:r>
          </w:p>
        </w:tc>
        <w:tc>
          <w:tcPr>
            <w:tcW w:type="dxa" w:w="1450"/>
          </w:tcPr>
          <w:p>
            <w:pPr>
              <w:spacing w:after="60"/>
            </w:pPr>
            <w:r>
              <w:rPr>
                <w:sz w:val="17"/>
              </w:rPr>
              <w:t xml:space="preserve">70</w:t>
            </w:r>
          </w:p>
        </w:tc>
        <w:tc>
          <w:tcPr>
            <w:tcW w:type="dxa" w:w="2880"/>
          </w:tcPr>
          <w:p>
            <w:pPr>
              <w:spacing w:after="60"/>
            </w:pPr>
            <w:r>
              <w:rPr>
                <w:sz w:val="17"/>
              </w:rPr>
              <w:t xml:space="preserve">ADD result 72; correct</w:t>
            </w:r>
          </w:p>
        </w:tc>
      </w:tr>
      <w:tr>
        <w:trPr>
          <w:cantSplit/>
        </w:trPr>
        <w:tc>
          <w:tcPr>
            <w:tcW w:type="dxa" w:w="3350"/>
          </w:tcPr>
          <w:p>
            <w:pPr>
              <w:spacing w:after="60"/>
            </w:pPr>
            <w:r>
              <w:rPr>
                <w:sz w:val="17"/>
              </w:rPr>
              <w:t xml:space="preserve">coverage_train_11_subtract</w:t>
            </w:r>
          </w:p>
        </w:tc>
        <w:tc>
          <w:tcPr>
            <w:tcW w:type="dxa" w:w="2400"/>
          </w:tcPr>
          <w:p>
            <w:pPr>
              <w:spacing w:after="60"/>
            </w:pPr>
            <w:r>
              <w:rPr>
                <w:sz w:val="17"/>
              </w:rPr>
              <w:t xml:space="preserve">54 − 13 = 41</w:t>
            </w:r>
          </w:p>
        </w:tc>
        <w:tc>
          <w:tcPr>
            <w:tcW w:type="dxa" w:w="1450"/>
          </w:tcPr>
          <w:p>
            <w:pPr>
              <w:spacing w:after="60"/>
            </w:pPr>
            <w:r>
              <w:rPr>
                <w:sz w:val="17"/>
              </w:rPr>
              <w:t xml:space="preserve">42</w:t>
            </w:r>
          </w:p>
        </w:tc>
        <w:tc>
          <w:tcPr>
            <w:tcW w:type="dxa" w:w="2880"/>
          </w:tcPr>
          <w:p>
            <w:pPr>
              <w:spacing w:after="60"/>
            </w:pPr>
            <w:r>
              <w:rPr>
                <w:sz w:val="17"/>
              </w:rPr>
              <w:t xml:space="preserve">SUB result 41; correct</w:t>
            </w:r>
          </w:p>
        </w:tc>
      </w:tr>
    </w:tbl>
    <w:p>
      <w:r>
        <w:t xml:space="preserve">These rows come from immutable saved native observations and independently checked TRAIN arithmetic. No further decoding was performed. The correct numeric result and token reach the saved task signal, while the emitted final number is wrong. The answer-path cause remains unproved; Derek’s research can investigate that discrepancy without treating the LR change as a generalization recipe.</w:t>
      </w:r>
    </w:p>
    <w:p>
      <w:pPr>
        <w:pStyle w:val="Heading2"/>
      </w:pPr>
      <w:r>
        <w:t xml:space="preserve">Checked operational closure</w:t>
      </w:r>
    </w:p>
    <w:p>
      <w:r>
        <w:t xml:space="preserve">The CPU audit verifies all eight fixed final checkpoint byte pins, four unchanged parents, full Adam moments/steps, saved RNG structure, module fingerprints and frozen halt/buffer state. Both original retained process handles prove exit 0; the new queue has one completed attempt and its global lock/guard are released. The older uncertain queue and both failed CPU-audit admissions are preserved. LM preservation is the worker’s frozen closure assertion; the CPU audit opens no LM weights or models and initializes no CUDA.</w:t>
      </w:r>
    </w:p>
    <w:p>
      <w:r>
        <w:t xml:space="preserve">The scientific queue took 3159.625 seconds (52.7 minutes). Final aggregate output, including local evidence and failed audit versions, stayed below 575 MB; conservative task-through-closeout accounting was 5255.191 seconds (87.6 of 90 minutes). New spending is $0. Final native storage was 7.376 GB for the project with 10.503 GB free, and GPU memory returned to the desktop baseline.</w:t>
      </w:r>
    </w:p>
    <w:p>
      <w:pPr>
        <w:pStyle w:val="Heading2"/>
      </w:pPr>
      <w:r>
        <w:t xml:space="preserve">Next: one parent-supplied arithmetic-transfer panel</w:t>
      </w:r>
    </w:p>
    <w:p>
      <w:r>
        <w:t xml:space="preserve">Preparation only. The parent supplied 16 new Luna questions as eight matched ADD/SUB pairs and reports independent semantic and arithmetic checks. Compare the identical panel across all eight fixed terminal5120 checkpoints, both seeds, both input modes and both LRs. Select no winner or earlier checkpoint; retrain nothing. Preserve original question wording, native tokenization, masks, EOS, numeric spans and ordinary fixed-four-loop decoding.</w:t>
      </w:r>
    </w:p>
    <w:p>
      <w:r>
        <w:t xml:space="preserve">Generation receives question-only inputs. Freeze all 128 raw answers and provenance before any gold scoring, then consume the panel once. Report complete items and pairs, task calls and final answers given correct calls separately by seed/input/LR, including failures, ties and negative differences. This is narrow arithmetic transfer, not broad English retention. Exposure checks use only authorized known TRAIN and consumed-panel metadata and parent eligibility certification; reserved/blind panels are never inspected. Launch remains gated on the checked panel, eligibility certificate, exact code/config/checkpoint pins and frozen local resource bounds, with $0 spending and no overnight cloud budget.</w:t>
      </w:r>
    </w:p>
    <w:p>
      <w:r>
        <w:t xml:space="preserve">Evidence: TRAIN-LR-STABILITY-EXECUTION-v1/INDEPENDENT-LR-RECOUNT-COMPLETE-v1.json, NATIVE-EIGHT-CP-CPU-INSPECTION-v3.json, FINAL-RESOURCE-ACCOUNTING-v1.json, FINAL-CLOSEOUT-CAP-PROOF-v1.json and DEREK-CHECKED-TERMINAL-HANDOFF-v1.json. Fresh preparation records are under FRESH-TERMINAL-EVAL-PREPARATION-v1; a prepared protocol is not a launched or scored evaluation.</w:t>
      </w:r>
    </w:p>
    <w:p>
      <w:r>
        <w:t xml:space="preserve">Preparation status: exact author bytes were recovered from the supplied base64, 6006 bytes with SHA256 8e66d71921703a1f602f477462752c2fbe0ad2403f0aebda1f71a3278efec1a3; canonical SHA256 081778f008f044e3d71da22ed7383eecb6f93e13037cdd15d3c738ecda561798. Native CPU tokenizer qualification passes all 16 rows, with a maximum of 38 tokens including one EOS, complete masks and native numeric spans. Exact question hashes have no collisions among 544 named available TRAIN hashes; eight new operand pairs have no collisions with the locally derived 40-pair exclusions or eight additional consumed contextual pairs. Historical question scopes are incomplete and global operand-pair novelty is unverified. Reserved data remains closed. Native CPU ownership qualification passes forced shutdown and normal exit using original retained process handles, with both earlier queues unchanged. Proposed local limits remain 1800 seconds, 64 MiB new output and 8 GiB CUDA reservation, with $0 spending. Specific parent review of the scoped eligibility, eight-endpoint protocol and resources is pending; no GPU evaluation has launched. Failed CPU preparation versions are preserved.</w:t>
      </w:r>
    </w:p>
    <w:p>
      <w:r>
        <w:t xml:space="preserve">Separate approved curriculum preparation: Ben approved two matched 1024-example TRAIN arms using the existing architecture, loss and calculator interface, with two seeds and no new cloud spending. Both CPU drafts contain the same 512 numeric pairs, ADD/SUB answers and order. The control preserves the exact 32 TRAIN skeletons with numbers and names substituted; treatment uses 32 paired cards from the approved 64-template bank, whose repeated structures do not establish 32 semantic families. All 2048 questions pass construction checks and 14 fixtures; independent full-row review is in progress. Each arm retains 123 single-digit subtraction targets from the approved numeric pool. Native token and numeric-result qualification, protected split, common initialization, resource budget and actual admission receipts remain pending. Neither draft is admitted for training, and the fresh terminal evaluation comes first.</w:t>
      </w:r>
    </w:p>
    <w:p>
      <w:pPr>
        <w:pStyle w:val="Heading1"/>
      </w:pPr>
      <w:r>
        <w:t>Checked status and pending work • 3 October 2026</w:t>
      </w:r>
    </w:p>
    <w:p>
      <w:pPr>
        <w:pStyle w:val="Heading2"/>
      </w:pPr>
      <w:r>
        <w:t>Completed: checked English TRAIN starter data</w:t>
      </w:r>
    </w:p>
    <w:p>
      <w:r>
        <w:t>The approved small English pilot has 24 independently checked TRAIN passages and 48 shared question-answer frames. One arm adds 24 source-reconstruction frames; the other adds 24 meaning-preserving paraphrase frames. Each arm therefore has 72 frames, with 96 distinct prepared task frames across both arms. The checked starter data are preparation evidence. English model understanding, output quality and training gains remain unmeasured. This narrow approval does not turn the earlier broader English proposals into completed work.</w:t>
      </w:r>
    </w:p>
    <w:p>
      <w:pPr>
        <w:pStyle w:val="Heading2"/>
      </w:pPr>
      <w:r>
        <w:t>Pending: native English qualification at 64/48</w:t>
      </w:r>
    </w:p>
    <w:p>
      <w:r>
        <w:t>The CPU diagnostic packet is independently source-reviewed for caps of 64 input tokens and 48 target tokens, including EOS. The original native attempt tokenized all 192 strings, with maxima of 59 input and 38 target tokens, but failed the older cap and import-read checks. Complete token-ID records were not retained. The revised packet still needs a native run proving cleanup of the exact absent ZIP search-path entry, successful imports, a clean audit and durable full-ID output. The model/task runtime guards remain 49/32; separate 64/48 qualification is pending. Source review is conditional on the existing variable-length architecture, unchanged weights, positional parameters and causal mask.</w:t>
      </w:r>
    </w:p>
    <w:p>
      <w:pPr>
        <w:pStyle w:val="Heading2"/>
      </w:pPr>
      <w:r>
        <w:t>Completed in part: disposable arithmetic benchmark</w:t>
      </w:r>
    </w:p>
    <w:p>
      <w:r>
        <w:t>The control completed 64 optimizer updates and 16 native generations. Treatment completed zero updates and zero forwards: its setup guard stopped on residual CUDA allocation with “CUDA tensors/reservation predate the allocator cap.” Original owned process exits were verified. The completed control checkpoint is preserved and not promoted. This is a partial cost benchmark, not a completed paired comparison or evidence of quality or generalization gains. The original execution window has expired.</w:t>
      </w:r>
    </w:p>
    <w:p>
      <w:pPr>
        <w:pStyle w:val="Heading2"/>
      </w:pPr>
      <w:r>
        <w:t>Prepared only: cleanup and fresh treatment process</w:t>
      </w:r>
    </w:p>
    <w:p>
      <w:r>
        <w:t>Nineteen CPU fixtures passed: nine for reference cleanup and ten for the one-arm protocol contract. They validate those CPU checks; they do not identify the native CUDA owner or prove a GPU repair. The proposed successor uses one fresh treatment process restored from the original 49a350235164… checkpoint at update 5120, never the completed control checkpoint. The exact protocol patch map is frozen but unimplemented and unreleased. Its proposed 600-second envelope grants no execution authority. Dispatch still requires release of the GPU hold, implementation and valid readiness, guards and resource authority. No successor has launched.</w:t>
      </w:r>
    </w:p>
    <w:p>
      <w:pPr>
        <w:pStyle w:val="Heading2"/>
      </w:pPr>
      <w:r>
        <w:t>Current billing receipt: the same one-time cap</w:t>
      </w:r>
    </w:p>
    <w:p>
      <w:r>
        <w:t>The read-only snapshot ending 3 October at 05:32:27 UTC retains the same one-time $10 October 2 cap. The guarded subtotal is $3.233160 and arithmetic headroom is $6.766840 before future storage and unknown fees. The $2.208160 failed-rental reserve remains because provider finality and complete mandatory-fee accounting are unproved; its reported $0.093 is already covered by that reserve. Stopped attached storage totals $1.025 for the checked window and continues at approximately $0.034722 per hour. These figures do not establish final available spending authority. No cap reset, new spending or storage deletion occurred.</w:t>
      </w:r>
    </w:p>
    <w:p>
      <w:r>
        <w:t>Evidence: REVIEWED-ROOT-CPU-TRANSPORT-READINESS-v3.json; ROOT-VERIFIED-PARTIAL-BENCHMARK-MILESTONE-v8.json; ROOT-CPU-READY-HANDOFF-v1.json; TREATMENT-ONLY-FRESH-PROCESS-IMPLEMENTATION-PLAN-v1.json; ROOT-VERIFIED-SAME-CAP-BILLING-RECONCILIATION-v1.json. Exact repository paths and hashes are retained in the document-update receipt. This documentation update launches no experiment, acquires no execution lock, consumes no evaluation panel and preserves the completed report delivery.</w:t>
      </w:r>
    </w:p>
    <w:sectPr w:rsidR="00FC693F" w:rsidRPr="0006063C" w:rsidSect="00034616">
      <w:headerReference w:type="default" ns2:id="rId9"/>
      <w:footerReference w:type="default" ns2:id="rId10"/>
      <w:pgSz w:w="12240" w:h="15840"/>
      <w:pgMar w:top="1008" w:right="1080" w:bottom="1008"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sz w:val="17"/>
      </w:rPr>
      <w:t>Premonition integrated model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Arial" w:hAnsi="Arial" w:eastAsia="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60"/>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00" w:after="12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6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60" w:line="240" w:lineRule="auto"/>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80/lake18a.html" TargetMode="External"/><Relationship Id="rId12" Type="http://schemas.openxmlformats.org/officeDocument/2006/relationships/hyperlink" Target="https://arxiv.org/abs/1912.09713" TargetMode="External"/><Relationship Id="rId13" Type="http://schemas.openxmlformats.org/officeDocument/2006/relationships/hyperlink" Target="https://aclanthology.org/2020.emnlp-main.731/" TargetMode="External"/><Relationship Id="rId14" Type="http://schemas.openxmlformats.org/officeDocument/2006/relationships/hyperlink" Target="https://aclanthology.org/2021.naacl-main.168/" TargetMode="External"/><Relationship Id="rId15" Type="http://schemas.openxmlformats.org/officeDocument/2006/relationships/hyperlink" Target="https://research.google/pubs/show-your-work-scratchpads-for-intermediate-computation-with-language-models/" TargetMode="External"/><Relationship Id="rId16" Type="http://schemas.openxmlformats.org/officeDocument/2006/relationships/hyperlink" Target="https://aclanthology.org/2024.conll-babylm.1/" TargetMode="External"/><Relationship Id="rId17" Type="http://schemas.openxmlformats.org/officeDocument/2006/relationships/hyperlink" Target="https://aclanthology.org/2024.conll-babylm.28/" TargetMode="External"/><Relationship Id="rId18" Type="http://schemas.openxmlformats.org/officeDocument/2006/relationships/hyperlink" Target="https://arxiv.org/html/2405.17399v2" TargetMode="External"/><Relationship Id="rId19" Type="http://schemas.openxmlformats.org/officeDocument/2006/relationships/hyperlink" Target="https://arxiv.org/abs/2402.09371" TargetMode="External"/><Relationship Id="rId20" Type="http://schemas.openxmlformats.org/officeDocument/2006/relationships/hyperlink" Target="https://arxiv.org/abs/2302.04761" TargetMode="External"/><Relationship Id="rId21" Type="http://schemas.openxmlformats.org/officeDocument/2006/relationships/hyperlink" Target="https://arxiv.org/abs/2205.12255" TargetMode="External"/><Relationship Id="rId22" Type="http://schemas.openxmlformats.org/officeDocument/2006/relationships/hyperlink" Target="https://www.nature.com/articles/s41586-023-06668-3" TargetMode="External"/><Relationship Id="rId23" Type="http://schemas.openxmlformats.org/officeDocument/2006/relationships/hyperlink" Target="https://proceedings.mlr.press/v70/finn17a/finn17a.pdf" TargetMode="External"/><Relationship Id="rId24" Type="http://schemas.openxmlformats.org/officeDocument/2006/relationships/hyperlink" Target="https://arxiv.org/html/1905.12588v2" TargetMode="External"/><Relationship Id="rId25" Type="http://schemas.openxmlformats.org/officeDocument/2006/relationships/hyperlink" Target="https://arxiv.org/html/2002.09571v2" TargetMode="External"/><Relationship Id="rId26" Type="http://schemas.openxmlformats.org/officeDocument/2006/relationships/hyperlink" Target="https://proceedings.mlr.press/v139/schlag21a/schlag21a.pdf" TargetMode="External"/><Relationship Id="rId27" Type="http://schemas.openxmlformats.org/officeDocument/2006/relationships/hyperlink" Target="https://arxiv.org/html/2407.04620v1" TargetMode="External"/><Relationship Id="rId28" Type="http://schemas.openxmlformats.org/officeDocument/2006/relationships/hyperlink" Target="https://jmlr.org/papers/v23/21-0998.html" TargetMode="External"/><Relationship Id="rId29" Type="http://schemas.openxmlformats.org/officeDocument/2006/relationships/hyperlink" Target="https://arxiv.org/abs/2203.00555" TargetMode="External"/><Relationship Id="rId30" Type="http://schemas.openxmlformats.org/officeDocument/2006/relationships/hyperlink" Target="https://docs.pytorch.org/docs/stable/generated/torch.compile" TargetMode="External"/><Relationship Id="rId31" Type="http://schemas.openxmlformats.org/officeDocument/2006/relationships/hyperlink" Target="https://arxiv.org/abs/2205.14135" TargetMode="External"/><Relationship Id="rId32" Type="http://schemas.openxmlformats.org/officeDocument/2006/relationships/hyperlink" Target="https://proceedings.mlr.press/v202/leviathan23a.html" TargetMode="External"/><Relationship Id="rId33" Type="http://schemas.openxmlformats.org/officeDocument/2006/relationships/hyperlink" Target="https://aclanthology.org/2023.emnlp-main.971/" TargetMode="External"/><Relationship Id="rId34" Type="http://schemas.openxmlformats.org/officeDocument/2006/relationships/hyperlink" Target="https://arxiv.org/html/2502.14802v1" TargetMode="External"/><Relationship Id="rId35" Type="http://schemas.openxmlformats.org/officeDocument/2006/relationships/hyperlink" Target="https://arxiv.org/abs/1705.08439" TargetMode="External"/><Relationship Id="rId36" Type="http://schemas.openxmlformats.org/officeDocument/2006/relationships/hyperlink" Target="https://proceedings.mlr.press/v80/xu18d.html" TargetMode="External"/><Relationship Id="rId37" Type="http://schemas.openxmlformats.org/officeDocument/2006/relationships/hyperlink" Target="https://arxiv.org/html/2409.12917v1" TargetMode="External"/><Relationship Id="rId38" Type="http://schemas.openxmlformats.org/officeDocument/2006/relationships/hyperlink" Target="https://arxiv.org/html/2203.14465v2" TargetMode="External"/><Relationship Id="rId39" Type="http://schemas.openxmlformats.org/officeDocument/2006/relationships/hyperlink" Target="https://arxiv.org/abs/2201.13259" TargetMode="External"/><Relationship Id="rId40" Type="http://schemas.openxmlformats.org/officeDocument/2006/relationships/hyperlink" Target="https://arxiv.org/abs/2110.14168" TargetMode="External"/><Relationship Id="rId41" Type="http://schemas.openxmlformats.org/officeDocument/2006/relationships/hyperlink" Target="https://arxiv.org/abs/2305.20050" TargetMode="External"/><Relationship Id="rId42" Type="http://schemas.openxmlformats.org/officeDocument/2006/relationships/hyperlink" Target="https://aclanthology.org/P17-1099/" TargetMode="External"/><Relationship Id="rId43" Type="http://schemas.openxmlformats.org/officeDocument/2006/relationships/hyperlink" Target="https://arxiv.org/abs/2210.10760" TargetMode="External"/><Relationship Id="rId44" Type="http://schemas.openxmlformats.org/officeDocument/2006/relationships/hyperlink" Target="https://arxiv.org/abs/1906.01076" TargetMode="External"/><Relationship Id="rId45" Type="http://schemas.openxmlformats.org/officeDocument/2006/relationships/hyperlink" Target="https://arxiv.org/abs/2012.07805" TargetMode="External"/><Relationship Id="rId46" Type="http://schemas.openxmlformats.org/officeDocument/2006/relationships/hyperlink" Target="https://arxiv.org/abs/1908.04742" TargetMode="External"/><Relationship Id="rId47" Type="http://schemas.openxmlformats.org/officeDocument/2006/relationships/hyperlink" Target="https://arxiv.org/abs/2004.07211" TargetMode="External"/><Relationship Id="rId48" Type="http://schemas.openxmlformats.org/officeDocument/2006/relationships/hyperlink" Target="https://proceedings.mlr.press/v70/graves17a.html" TargetMode="External"/><Relationship Id="rId49" Type="http://schemas.openxmlformats.org/officeDocument/2006/relationships/hyperlink" Target="https://arxiv.org/html/2504.13171v1" TargetMode="External"/><Relationship Id="rId50" Type="http://schemas.openxmlformats.org/officeDocument/2006/relationships/hyperlink" Target="https://arxiv.org/html/2506.10943v1" TargetMode="External"/><Relationship Id="rId51" Type="http://schemas.openxmlformats.org/officeDocument/2006/relationships/hyperlink" Target="https://github.com/brendenlake/MLC-ML" TargetMode="External"/><Relationship Id="rId52" Type="http://schemas.openxmlformats.org/officeDocument/2006/relationships/hyperlink" Target="https://arxiv.org/abs/2201.02177" TargetMode="External"/><Relationship Id="rId53" Type="http://schemas.openxmlformats.org/officeDocument/2006/relationships/hyperlink" Target="https://pytorch.org/blog/accelerating-pytorch-with-cuda-graphs/" TargetMode="External"/><Relationship Id="rId54" Type="http://schemas.openxmlformats.org/officeDocument/2006/relationships/hyperlink" Target="https://arxiv.org/abs/2502.05171" TargetMode="External"/><Relationship Id="rId55" Type="http://schemas.openxmlformats.org/officeDocument/2006/relationships/hyperlink" Target="https://github.com/kjaved0/mr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Premonition integrated model design</dc:title>
  <dc:subject>Research and implementation priorities for a fast learning personal model</dc:subject>
  <dc:creator>Derek</dc:creator>
  <cp:keywords>Premonition, reasoning, calculator, memory, learning</cp:keywords>
  <dc:description>generated by python-docx</dc:description>
  <cp:lastModifiedBy/>
  <cp:revision>1</cp:revision>
  <dcterms:created xsi:type="dcterms:W3CDTF">2013-12-23T23:15:00Z</dcterms:created>
  <dcterms:modified xsi:type="dcterms:W3CDTF">2013-12-23T23:15:00Z</dcterms:modified>
  <cp:category/>
</cp:coreProperties>
</file>