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DUOC UC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Escuela de Informática y Telecomunicaciones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Evaluación Final Transversal (EFT)</w:t>
      </w:r>
    </w:p>
    <w:p>
      <w:pPr>
        <w:spacing w:after="500"/>
        <w:jc w:val="center"/>
      </w:pPr>
      <w:r>
        <w:rPr>
          <w:color w:val="404040"/>
          <w:sz w:val="26"/>
          <w:szCs w:val="26"/>
        </w:rPr>
        <w:t xml:space="preserve">Predicción de churn con IA sobre un pipeline DataOps: proyecto completo, infraestructura, monitoreo, gobernanza y estrategia de despliegue</w:t>
      </w:r>
    </w:p>
    <w:p>
      <w:pPr>
        <w:spacing w:after="500"/>
      </w:pPr>
      <w:r>
        <w:t xml:space="preserve"/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ITY1101 — Gestión de Datos para IA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Sección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003V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Telco Customer Churn — predicción de abandono de clientes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Benjamín Heresmann — Ingeniero de Datos</w:t>
            </w:r>
          </w:p>
          <w:p>
            <w:r>
              <w:rPr>
                <w:sz w:val="20"/>
                <w:szCs w:val="20"/>
              </w:rPr>
              <w:t xml:space="preserve">Diego Hernández — Ingeniero de BD / DataOps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PMBOK híbrido (predictivo + adaptativo)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</w:t>
            </w:r>
          </w:p>
        </w:tc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Julio 2026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Índice</w:t>
      </w:r>
    </w:p>
    <w:p>
      <w:pPr>
        <w:spacing w:after="60" w:line="360"/>
      </w:pPr>
      <w:r>
        <w:rPr>
          <w:sz w:val="22"/>
          <w:szCs w:val="22"/>
        </w:rPr>
        <w:t xml:space="preserve">1. Resumen ejecutivo y valor para la organización</w:t>
      </w:r>
    </w:p>
    <w:p>
      <w:pPr>
        <w:spacing w:after="60" w:line="360"/>
      </w:pPr>
      <w:r>
        <w:rPr>
          <w:sz w:val="22"/>
          <w:szCs w:val="22"/>
        </w:rPr>
        <w:t xml:space="preserve">2. Metodología PMBOK y plan de gestión del proyecto</w:t>
      </w:r>
    </w:p>
    <w:p>
      <w:pPr>
        <w:spacing w:after="60" w:line="360"/>
      </w:pPr>
      <w:r>
        <w:rPr>
          <w:sz w:val="22"/>
          <w:szCs w:val="22"/>
        </w:rPr>
        <w:t xml:space="preserve">3. Desarrollo del proyecto — Fase 1: pipeline DataOps</w:t>
      </w:r>
    </w:p>
    <w:p>
      <w:pPr>
        <w:spacing w:after="60" w:line="360"/>
      </w:pPr>
      <w:r>
        <w:rPr>
          <w:sz w:val="22"/>
          <w:szCs w:val="22"/>
        </w:rPr>
        <w:t xml:space="preserve">4. Desarrollo del proyecto — Fase 2: modelo de IA y análisis de rendimiento</w:t>
      </w:r>
    </w:p>
    <w:p>
      <w:pPr>
        <w:spacing w:after="60" w:line="360"/>
      </w:pPr>
      <w:r>
        <w:rPr>
          <w:sz w:val="22"/>
          <w:szCs w:val="22"/>
        </w:rPr>
        <w:t xml:space="preserve">5. Requerimiento de infraestructura de la solución</w:t>
      </w:r>
    </w:p>
    <w:p>
      <w:pPr>
        <w:spacing w:after="60" w:line="360"/>
      </w:pPr>
      <w:r>
        <w:rPr>
          <w:sz w:val="22"/>
          <w:szCs w:val="22"/>
        </w:rPr>
        <w:t xml:space="preserve">6. Estrategia de monitoreo</w:t>
      </w:r>
    </w:p>
    <w:p>
      <w:pPr>
        <w:spacing w:after="60" w:line="360"/>
      </w:pPr>
      <w:r>
        <w:rPr>
          <w:sz w:val="22"/>
          <w:szCs w:val="22"/>
        </w:rPr>
        <w:t xml:space="preserve">7. Protocolos de seguridad y gobernanza</w:t>
      </w:r>
    </w:p>
    <w:p>
      <w:pPr>
        <w:spacing w:after="60" w:line="360"/>
      </w:pPr>
      <w:r>
        <w:rPr>
          <w:sz w:val="22"/>
          <w:szCs w:val="22"/>
        </w:rPr>
        <w:t xml:space="preserve">8. Estrategia de despliegue organizacional y beneficios</w:t>
      </w:r>
    </w:p>
    <w:p>
      <w:pPr>
        <w:spacing w:after="60" w:line="360"/>
      </w:pPr>
      <w:r>
        <w:rPr>
          <w:sz w:val="22"/>
          <w:szCs w:val="22"/>
        </w:rPr>
        <w:t xml:space="preserve">9. Hallazgos, limitaciones y plan de mejoras</w:t>
      </w:r>
    </w:p>
    <w:p>
      <w:pPr>
        <w:spacing w:after="60" w:line="360"/>
      </w:pPr>
      <w:r>
        <w:rPr>
          <w:sz w:val="22"/>
          <w:szCs w:val="22"/>
        </w:rPr>
        <w:t xml:space="preserve">10. Conclusiones</w:t>
      </w:r>
    </w:p>
    <w:p>
      <w:pPr>
        <w:spacing w:after="60" w:line="360"/>
      </w:pPr>
      <w:r>
        <w:rPr>
          <w:sz w:val="22"/>
          <w:szCs w:val="22"/>
        </w:rPr>
        <w:t xml:space="preserve">Anexo A — Evidencias y recursos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Resumen ejecutivo y valor para la organización</w:t>
      </w:r>
    </w:p>
    <w:p>
      <w:pPr>
        <w:spacing w:after="120" w:line="360"/>
        <w:jc w:val="both"/>
      </w:pPr>
      <w:r>
        <w:t xml:space="preserve">Una telco pierde el </w:t>
      </w:r>
      <w:r>
        <w:rPr>
          <w:b/>
          <w:bCs/>
        </w:rPr>
        <w:t xml:space="preserve">26,5%</w:t>
      </w:r>
      <w:r>
        <w:t xml:space="preserve"> de sus clientes al año y captar un cliente nuevo cuesta entre 5 y 7 veces más que retener a uno existente. Este proyecto construye una </w:t>
      </w:r>
      <w:r>
        <w:rPr>
          <w:b/>
          <w:bCs/>
        </w:rPr>
        <w:t xml:space="preserve">solución de datos e IA de extremo a extremo</w:t>
      </w:r>
      <w:r>
        <w:t xml:space="preserve"> que anticipa qué clientes van a abandonar (*churn*), para que el negocio actúe </w:t>
      </w:r>
      <w:r>
        <w:rPr>
          <w:b/>
          <w:bCs/>
        </w:rPr>
        <w:t xml:space="preserve">antes</w:t>
      </w:r>
      <w:r>
        <w:t xml:space="preserve"> de perderlos: un </w:t>
      </w:r>
      <w:r>
        <w:rPr>
          <w:b/>
          <w:bCs/>
        </w:rPr>
        <w:t xml:space="preserve">pipeline DataOps</w:t>
      </w:r>
      <w:r>
        <w:t xml:space="preserve"> que ingesta, limpia, valida y carga 7.043 registros a una base de datos en la nube (Fase 1), y un </w:t>
      </w:r>
      <w:r>
        <w:rPr>
          <w:b/>
          <w:bCs/>
        </w:rPr>
        <w:t xml:space="preserve">modelo de clasificación supervisado</w:t>
      </w:r>
      <w:r>
        <w:t xml:space="preserve"> que predice el abandono con un </w:t>
      </w:r>
      <w:r>
        <w:rPr>
          <w:b/>
          <w:bCs/>
        </w:rPr>
        <w:t xml:space="preserve">recall del 79.7%</w:t>
      </w:r>
      <w:r>
        <w:t xml:space="preserve"> —detecta 4 de cada 5 fugas—, servido como microservicios y consumido por un </w:t>
      </w:r>
      <w:r>
        <w:rPr>
          <w:b/>
          <w:bCs/>
        </w:rPr>
        <w:t xml:space="preserve">dashboard de BI</w:t>
      </w:r>
      <w:r>
        <w:t xml:space="preserve"> con demo en vivo (Fase 2).</w:t>
      </w:r>
    </w:p>
    <w:p>
      <w:pPr>
        <w:spacing w:after="120" w:line="360"/>
        <w:jc w:val="both"/>
      </w:pPr>
      <w:r>
        <w:rPr>
          <w:b/>
          <w:bCs/>
        </w:rPr>
        <w:t xml:space="preserve">Valor para la organización:</w:t>
      </w:r>
      <w:r>
        <w:t xml:space="preserve"> el modelo prioriza a los </w:t>
      </w:r>
      <w:r>
        <w:rPr>
          <w:b/>
          <w:bCs/>
        </w:rPr>
        <w:t xml:space="preserve">2.914 clientes en riesgo</w:t>
      </w:r>
      <w:r>
        <w:t xml:space="preserve"> por probabilidad de fuga, transformando la retención de reactiva a </w:t>
      </w:r>
      <w:r>
        <w:rPr>
          <w:b/>
          <w:bCs/>
        </w:rPr>
        <w:t xml:space="preserve">proactiva y focalizada</w:t>
      </w:r>
      <w:r>
        <w:t xml:space="preserve">: el equipo comercial concentra sus incentivos en la fracción correcta de la cartera en lugar de campañas masivas. La solución es </w:t>
      </w:r>
      <w:r>
        <w:rPr>
          <w:b/>
          <w:bCs/>
        </w:rPr>
        <w:t xml:space="preserve">reproducible</w:t>
      </w:r>
      <w:r>
        <w:t xml:space="preserve"> (pipeline idempotente, código versionado), </w:t>
      </w:r>
      <w:r>
        <w:rPr>
          <w:b/>
          <w:bCs/>
        </w:rPr>
        <w:t xml:space="preserve">auditable</w:t>
      </w:r>
      <w:r>
        <w:t xml:space="preserve"> (logs por corrida, RLS) y </w:t>
      </w:r>
      <w:r>
        <w:rPr>
          <w:b/>
          <w:bCs/>
        </w:rPr>
        <w:t xml:space="preserve">cumple la Ley 21.719</w:t>
      </w:r>
      <w:r>
        <w:t xml:space="preserve"> de protección de datos desde el diseño. Este informe agrega la vista de operación: </w:t>
      </w:r>
      <w:r>
        <w:rPr>
          <w:b/>
          <w:bCs/>
        </w:rPr>
        <w:t xml:space="preserve">requerimiento de infraestructura, estrategia de monitoreo, protocolos de gobernanza y plan de despliegue organizacional</w:t>
      </w:r>
      <w: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Metodología PMBOK y plan de gestión del proyecto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Justificación de la metodología</w:t>
      </w:r>
    </w:p>
    <w:p>
      <w:pPr>
        <w:spacing w:after="120" w:line="360"/>
        <w:jc w:val="both"/>
      </w:pPr>
      <w:r>
        <w:t xml:space="preserve">Se adoptó un enfoque </w:t>
      </w:r>
      <w:r>
        <w:rPr>
          <w:b/>
          <w:bCs/>
        </w:rPr>
        <w:t xml:space="preserve">PMBOK híbrido</w:t>
      </w:r>
      <w:r>
        <w:t xml:space="preserve">: ciclo de vida </w:t>
      </w:r>
      <w:r>
        <w:rPr>
          <w:b/>
          <w:bCs/>
        </w:rPr>
        <w:t xml:space="preserve">predictivo</w:t>
      </w:r>
      <w:r>
        <w:t xml:space="preserve"> para la estructura del proyecto —el alcance, los entregables y las fechas de las evaluaciones estaban definidos desde el inicio, lo que exige planificación por hitos— combinado con </w:t>
      </w:r>
      <w:r>
        <w:rPr>
          <w:b/>
          <w:bCs/>
        </w:rPr>
        <w:t xml:space="preserve">desarrollo adaptativo (sprints semanales)</w:t>
      </w:r>
      <w:r>
        <w:t xml:space="preserve"> dentro de cada fase, porque los requisitos técnicos evolucionaron con la retroalimentación del docente (p. ej., desacoplar el monolito en microservicios tras la Parcial 2, o separar entrenamiento e inferencia en la Parcial 3). Un ejemplo concreto de esta alineación: el hito «Parcial 3» fijaba el entregable (modelo + dashboard), pero el *cómo* se iteró en sprints —primero el modelo baseline, luego el balanceado, luego el serving—. PMBOK aporta control de alcance y riesgos; lo adaptativo, capacidad de reacción.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Plan de gestión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 de procesos PMBOK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Aplicación concreta en el proyecto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Inicio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Caso de negocio: costo del churn; acta implícita del encargo; selección del caso Telco (7.043 registros reales)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Planificación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EDT por fases (pipeline → modelo → operación); hitos = evaluaciones; arquitectura cloud objetivo; matriz de riesgos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Ejecución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Sprints semanales por etapa del pipeline y del modelo; pair-review entre integrantes; commits descriptivos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Monitoreo y control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CI con pytest en cada push (GitHub Actions); revisión del docente por parcial como control de calidad; gestión de cambios vía issues/commits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Cierre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EFT: informe consolidado, defensa con demo y lecciones aprendidas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rPr>
          <w:b/>
          <w:bCs/>
        </w:rPr>
        <w:t xml:space="preserve">Herramientas y evidencias:</w:t>
      </w:r>
      <w:r>
        <w:t xml:space="preserve"> el repositorio </w:t>
      </w:r>
      <w:r>
        <w:rPr>
          <w:b/>
          <w:bCs/>
        </w:rPr>
        <w:t xml:space="preserve">GitHub</w:t>
      </w:r>
      <w:r>
        <w:t xml:space="preserve"> operó como herramienta de gestión —el historial de commits documenta los sprints, las ramas los cambios mayores y los releases los hitos— y </w:t>
      </w:r>
      <w:r>
        <w:rPr>
          <w:b/>
          <w:bCs/>
        </w:rPr>
        <w:t xml:space="preserve">GitHub Actions</w:t>
      </w:r>
      <w:r>
        <w:t xml:space="preserve"> como control automatizado. </w:t>
      </w:r>
      <w:r>
        <w:rPr>
          <w:b/>
          <w:bCs/>
        </w:rPr>
        <w:t xml:space="preserve">Gestión de riesgos</w:t>
      </w:r>
      <w:r>
        <w:t xml:space="preserve"> aplicada: se identificaron y mitigaron riesgos reales, como la suspensión del *free tier* por inactividad (mitigación: verificación previa a cada demo), el sobreajuste del modelo (mitigación: holdout estratificado) y la fuga de credenciales (mitigación: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+ escaneo del historial). En un despliegue organizacional, esta gestión escalaría a </w:t>
      </w:r>
      <w:r>
        <w:rPr>
          <w:b/>
          <w:bCs/>
        </w:rPr>
        <w:t xml:space="preserve">Jira o MS Project</w:t>
      </w:r>
      <w:r>
        <w:t xml:space="preserve"> con tableros por equipo.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Desarrollo del proyecto — Fase 1: pipeline DataOps</w:t>
      </w:r>
    </w:p>
    <w:p>
      <w:pPr>
        <w:spacing w:after="120" w:line="360"/>
        <w:jc w:val="both"/>
      </w:pPr>
      <w:r>
        <w:rPr>
          <w:b/>
          <w:bCs/>
        </w:rPr>
        <w:t xml:space="preserve">Necesidad de DataOps frente al enfoque tradicional:</w:t>
      </w:r>
      <w:r>
        <w:t xml:space="preserve"> en un flujo tradicional, un analista procesa un CSV a mano, sin versionado ni validación reproducible: cada corrida es distinta, los errores se descubren tarde y nada es auditable. </w:t>
      </w:r>
      <w:r>
        <w:rPr>
          <w:b/>
          <w:bCs/>
        </w:rPr>
        <w:t xml:space="preserve">DataOps</w:t>
      </w:r>
      <w:r>
        <w:t xml:space="preserve"> aplica principios de ingeniería (automatización, testing, versionado, monitoreo) al ciclo de vida del dato. En este proyecto, eso se materializa en un </w:t>
      </w:r>
      <w:r>
        <w:rPr>
          <w:b/>
          <w:bCs/>
        </w:rPr>
        <w:t xml:space="preserve">pipeline de cuatro etapas</w:t>
      </w:r>
      <w:r>
        <w:t xml:space="preserve"> —</w:t>
      </w:r>
      <w:r>
        <w:rPr>
          <w:b/>
          <w:bCs/>
        </w:rPr>
        <w:t xml:space="preserve">ingesta → limpieza y transformación → validación estructural y semántica → carga</w:t>
      </w:r>
      <w:r>
        <w:t xml:space="preserve">— totalmente automatizado y reproducible: la misma entrada produce siempre la misma salida (carga *full-refresh* idempotente y transaccional).</w:t>
      </w:r>
    </w:p>
    <w:p>
      <w:pPr>
        <w:spacing w:after="120" w:line="360"/>
        <w:jc w:val="both"/>
      </w:pPr>
      <w:r>
        <w:t xml:space="preserve">El pipeline procesa </w:t>
      </w:r>
      <w:r>
        <w:rPr>
          <w:b/>
          <w:bCs/>
        </w:rPr>
        <w:t xml:space="preserve">7.043 registros</w:t>
      </w:r>
      <w:r>
        <w:t xml:space="preserve"> y los deja </w:t>
      </w:r>
      <w:r>
        <w:rPr>
          <w:b/>
          <w:bCs/>
        </w:rPr>
        <w:t xml:space="preserve">con 0 nulos y tipos correctos</w:t>
      </w:r>
      <w:r>
        <w:t xml:space="preserve"> en </w:t>
      </w:r>
      <w:r>
        <w:rPr>
          <w:b/>
          <w:bCs/>
        </w:rPr>
        <w:t xml:space="preserve">PostgreSQL 17 (Supabase)</w:t>
      </w:r>
      <w:r>
        <w:t xml:space="preserve">; los registros que fallan la validación no se pierden: quedan auditados en </w:t>
      </w:r>
      <w:r>
        <w:rPr>
          <w:rFonts w:ascii="Consolas" w:cs="Consolas" w:eastAsia="Consolas" w:hAnsi="Consolas"/>
          <w:sz w:val="20"/>
          <w:szCs w:val="20"/>
        </w:rPr>
        <w:t xml:space="preserve">clientes_rechazados</w:t>
      </w:r>
      <w:r>
        <w:t xml:space="preserve"> con su motivo. Cada corrida registra su evidencia en 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 (leídos, insertados, rechazados, duración, estado). El procesamiento se expone como </w:t>
      </w:r>
      <w:r>
        <w:rPr>
          <w:b/>
          <w:bCs/>
        </w:rPr>
        <w:t xml:space="preserve">API REST</w:t>
      </w:r>
      <w:r>
        <w:t xml:space="preserve"> (FastAPI + Swagger) desplegada en </w:t>
      </w:r>
      <w:r>
        <w:rPr>
          <w:b/>
          <w:bCs/>
        </w:rPr>
        <w:t xml:space="preserve">Railway</w:t>
      </w:r>
      <w:r>
        <w:t xml:space="preserve">, cada etapa corre como </w:t>
      </w:r>
      <w:r>
        <w:rPr>
          <w:b/>
          <w:bCs/>
        </w:rPr>
        <w:t xml:space="preserve">un contenedor por capa</w:t>
      </w:r>
      <w:r>
        <w:t xml:space="preserve"> (Docker), y el código se versiona en </w:t>
      </w:r>
      <w:r>
        <w:rPr>
          <w:b/>
          <w:bCs/>
        </w:rPr>
        <w:t xml:space="preserve">GitHub con CI</w:t>
      </w:r>
      <w:r>
        <w:t xml:space="preserve"> (pytest en cada push). Las </w:t>
      </w:r>
      <w:r>
        <w:rPr>
          <w:b/>
          <w:bCs/>
        </w:rPr>
        <w:t xml:space="preserve">mejoras de la Parcial 2</w:t>
      </w:r>
      <w:r>
        <w:t xml:space="preserve"> ya están incorporadas: arquitectura desacoplada (GitHub · Railway · Supabase), modularización por contenedores, Row-Level Security y métricas por etapa en la API.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Desarrollo — Fase 2: modelo de IA y análisis de rendimiento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Diseño y entrenamiento</w:t>
      </w:r>
    </w:p>
    <w:p>
      <w:pPr>
        <w:spacing w:after="120" w:line="360"/>
        <w:jc w:val="both"/>
      </w:pPr>
      <w:r>
        <w:t xml:space="preserve">Sobre los datos curados se entrena un </w:t>
      </w:r>
      <w:r>
        <w:rPr>
          <w:b/>
          <w:bCs/>
        </w:rPr>
        <w:t xml:space="preserve">clasificador binario supervisado</w:t>
      </w:r>
      <w:r>
        <w:t xml:space="preserve"> (objetivo: </w:t>
      </w:r>
      <w:r>
        <w:rPr>
          <w:rFonts w:ascii="Consolas" w:cs="Consolas" w:eastAsia="Consolas" w:hAnsi="Consolas"/>
          <w:sz w:val="20"/>
          <w:szCs w:val="20"/>
        </w:rPr>
        <w:t xml:space="preserve">churn</w:t>
      </w:r>
      <w:r>
        <w:t xml:space="preserve">). Como la clase está </w:t>
      </w:r>
      <w:r>
        <w:rPr>
          <w:b/>
          <w:bCs/>
        </w:rPr>
        <w:t xml:space="preserve">desbalanceada</w:t>
      </w:r>
      <w:r>
        <w:t xml:space="preserve"> (26,5% de churn), se prioriza el </w:t>
      </w:r>
      <w:r>
        <w:rPr>
          <w:b/>
          <w:bCs/>
        </w:rPr>
        <w:t xml:space="preserve">recall</w:t>
      </w:r>
      <w:r>
        <w:t xml:space="preserve"> —en retención, el error caro es el </w:t>
      </w:r>
      <w:r>
        <w:rPr>
          <w:b/>
          <w:bCs/>
        </w:rPr>
        <w:t xml:space="preserve">falso negativo</w:t>
      </w:r>
      <w:r>
        <w:t xml:space="preserve">: un cliente que se va sin ser detectado— y se maneja el desbalance con </w:t>
      </w:r>
      <w:r>
        <w:rPr>
          <w:rFonts w:ascii="Consolas" w:cs="Consolas" w:eastAsia="Consolas" w:hAnsi="Consolas"/>
          <w:sz w:val="20"/>
          <w:szCs w:val="20"/>
        </w:rPr>
        <w:t xml:space="preserve">class_weight='balanced'</w:t>
      </w:r>
      <w:r>
        <w:t xml:space="preserve"> (SMOTE fue evaluado y descartado para no introducir datos sintéticos). Partición </w:t>
      </w:r>
      <w:r>
        <w:rPr>
          <w:b/>
          <w:bCs/>
        </w:rPr>
        <w:t xml:space="preserve">70/30 estratificada</w:t>
      </w:r>
      <w:r>
        <w:t xml:space="preserve">: train 4.930 / test 2.113. El preprocesamiento (estandarización de numéricas + one-hot de categóricas) vive </w:t>
      </w:r>
      <w:r>
        <w:rPr>
          <w:b/>
          <w:bCs/>
        </w:rPr>
        <w:t xml:space="preserve">dentro</w:t>
      </w:r>
      <w:r>
        <w:t xml:space="preserve"> del </w:t>
      </w:r>
      <w:r>
        <w:rPr>
          <w:rFonts w:ascii="Consolas" w:cs="Consolas" w:eastAsia="Consolas" w:hAnsi="Consolas"/>
          <w:sz w:val="20"/>
          <w:szCs w:val="20"/>
        </w:rPr>
        <w:t xml:space="preserve">Pipeline</w:t>
      </w:r>
      <w:r>
        <w:t xml:space="preserve"> de scikit-learn, evitando fuga de datos y garantizando que producción aplique las mismas transformaciones que el entrenamiento.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30"/>
        <w:gridCol w:w="1330"/>
        <w:gridCol w:w="1330"/>
        <w:gridCol w:w="1330"/>
        <w:gridCol w:w="134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Gini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LogReg (baseline)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81.0%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56.0%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67.1%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0.610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0.693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Arbol (baseline)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79.5%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60.6%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61.6%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0.611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0.664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LogReg balanceada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74.2%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79.7%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50.9%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0.621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0.693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RandomForest balanceado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77.1%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63.5%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56.1%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0.596</w:t>
            </w:r>
          </w:p>
        </w:tc>
        <w:tc>
          <w:tcPr>
            <w:tcW w:type="dxa" w:w="1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0.645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t xml:space="preserve">Se selecciona la </w:t>
      </w:r>
      <w:r>
        <w:rPr>
          <w:b/>
          <w:bCs/>
        </w:rPr>
        <w:t xml:space="preserve">Regresión Logística balanceada</w:t>
      </w:r>
      <w:r>
        <w:t xml:space="preserve">: mejor F1 (0.621) y mayor recall (79.7%). Su exactitud (74,2%) es menor que la del baseline (81,0%), pero esa exactitud es </w:t>
      </w:r>
      <w:r>
        <w:rPr>
          <w:b/>
          <w:bCs/>
        </w:rPr>
        <w:t xml:space="preserve">engañosa</w:t>
      </w:r>
      <w:r>
        <w:t xml:space="preserve">: por el desbalance, predecir «nadie se va» ya daría ~73,5% sin detectar un solo abandono. El Random Forest ilustra el </w:t>
      </w:r>
      <w:r>
        <w:rPr>
          <w:b/>
          <w:bCs/>
        </w:rPr>
        <w:t xml:space="preserve">sobreajuste</w:t>
      </w:r>
      <w:r>
        <w:t xml:space="preserve">: 100% de recall en entrenamiento cae a 63,5% en prueba; la Regresión Logística rinde casi igual en ambos conjuntos.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Análisis de rendimiento del modelo</w:t>
      </w:r>
    </w:p>
    <w:p>
      <w:pPr>
        <w:spacing w:after="120" w:line="360"/>
        <w:jc w:val="both"/>
      </w:pPr>
      <w:r>
        <w:t xml:space="preserve">La </w:t>
      </w:r>
      <w:r>
        <w:rPr>
          <w:b/>
          <w:bCs/>
        </w:rPr>
        <w:t xml:space="preserve">matriz de confusión</w:t>
      </w:r>
      <w:r>
        <w:t xml:space="preserve"> sobre los 2.113 clientes de prueba: de los 561 que realmente abandonan, el modelo detecta </w:t>
      </w:r>
      <w:r>
        <w:rPr>
          <w:b/>
          <w:bCs/>
        </w:rPr>
        <w:t xml:space="preserve">447 (TP)</w:t>
      </w:r>
      <w:r>
        <w:t xml:space="preserve"> y deja escapar </w:t>
      </w:r>
      <w:r>
        <w:rPr>
          <w:b/>
          <w:bCs/>
        </w:rPr>
        <w:t xml:space="preserve">114 (FN)</w:t>
      </w:r>
      <w:r>
        <w:t xml:space="preserve">; acierta </w:t>
      </w:r>
      <w:r>
        <w:rPr>
          <w:b/>
          <w:bCs/>
        </w:rPr>
        <w:t xml:space="preserve">1121 (TN)</w:t>
      </w:r>
      <w:r>
        <w:t xml:space="preserve"> de los que se quedan y genera </w:t>
      </w:r>
      <w:r>
        <w:rPr>
          <w:b/>
          <w:bCs/>
        </w:rPr>
        <w:t xml:space="preserve">431 falsas alarmas (FP)</w:t>
      </w:r>
      <w:r>
        <w:t xml:space="preserve">. El </w:t>
      </w:r>
      <w:r>
        <w:rPr>
          <w:b/>
          <w:bCs/>
        </w:rPr>
        <w:t xml:space="preserve">recall 79.7%</w:t>
      </w:r>
      <w:r>
        <w:t xml:space="preserve"> = TP/(TP+FN) captura 4 de cada 5 fugas; la </w:t>
      </w:r>
      <w:r>
        <w:rPr>
          <w:b/>
          <w:bCs/>
        </w:rPr>
        <w:t xml:space="preserve">precisión 50.9%</w:t>
      </w:r>
      <w:r>
        <w:t xml:space="preserve"> refleja el costo en falsas alarmas (aceptable: una falsa alarma solo gasta un incentivo); el </w:t>
      </w:r>
      <w:r>
        <w:rPr>
          <w:b/>
          <w:bCs/>
        </w:rPr>
        <w:t xml:space="preserve">F1 0.621</w:t>
      </w:r>
      <w:r>
        <w:t xml:space="preserve"> equilibra ambos. La </w:t>
      </w:r>
      <w:r>
        <w:rPr>
          <w:b/>
          <w:bCs/>
        </w:rPr>
        <w:t xml:space="preserve">curva ROC</w:t>
      </w:r>
      <w:r>
        <w:t xml:space="preserve"> entrega un </w:t>
      </w:r>
      <w:r>
        <w:rPr>
          <w:b/>
          <w:bCs/>
        </w:rPr>
        <w:t xml:space="preserve">AUC de 0.846</w:t>
      </w:r>
      <w:r>
        <w:t xml:space="preserve">, es decir un </w:t>
      </w:r>
      <w:r>
        <w:rPr>
          <w:b/>
          <w:bCs/>
        </w:rPr>
        <w:t xml:space="preserve">coeficiente de Gini de 0.693</w:t>
      </w:r>
      <w:r>
        <w:t xml:space="preserve"> (Gini = 2·AUC − 1): el modelo ordena por riesgo con una capacidad muy superior al azar (Gini = 0), lo que habilita priorizar campañas por probabilidad.</w:t>
      </w:r>
    </w:p>
    <w:p>
      <w:pPr>
        <w:spacing w:after="60" w:before="120"/>
        <w:jc w:val="center"/>
      </w:pPr>
      <w:r>
        <w:drawing>
          <wp:inline distT="0" distB="0" distL="0" distR="0">
            <wp:extent cx="2924175" cy="2476500"/>
            <wp:effectExtent t="0" r="0" b="0" l="0"/>
            <wp:docPr id="1" name="Curvas ROC" descr="Curvas ROC" title="Curvas R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08080"/>
          <w:sz w:val="17"/>
          <w:szCs w:val="17"/>
        </w:rPr>
        <w:t xml:space="preserve">Figura 1. Curvas ROC de los cuatro modelos evaluados (AUC del elegido: 0.846).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Serving e integración BI</w:t>
      </w:r>
    </w:p>
    <w:p>
      <w:pPr>
        <w:spacing w:after="120" w:line="360"/>
        <w:jc w:val="both"/>
      </w:pPr>
      <w:r>
        <w:t xml:space="preserve">El modelo se opera como </w:t>
      </w:r>
      <w:r>
        <w:rPr>
          <w:b/>
          <w:bCs/>
        </w:rPr>
        <w:t xml:space="preserve">dos microservicios independientes</w:t>
      </w:r>
      <w:r>
        <w:t xml:space="preserve"> (misma imagen, rol por variable de entorno) que se comunican solo vía Supabase: </w:t>
      </w:r>
      <w:r>
        <w:rPr>
          <w:b/>
          <w:bCs/>
        </w:rPr>
        <w:t xml:space="preserve">trainer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POST /train</w:t>
      </w:r>
      <w:r>
        <w:t xml:space="preserve">) entrena y guarda el modelo serializado en </w:t>
      </w:r>
      <w:r>
        <w:rPr>
          <w:rFonts w:ascii="Consolas" w:cs="Consolas" w:eastAsia="Consolas" w:hAnsi="Consolas"/>
          <w:sz w:val="20"/>
          <w:szCs w:val="20"/>
        </w:rPr>
        <w:t xml:space="preserve">modelo_artefacto</w:t>
      </w:r>
      <w:r>
        <w:t xml:space="preserve">; </w:t>
      </w:r>
      <w:r>
        <w:rPr>
          <w:b/>
          <w:bCs/>
        </w:rPr>
        <w:t xml:space="preserve">predictor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GET /metrics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 /predict/batch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 /predict/cliente/{id}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 /predict/nuevo</w:t>
      </w:r>
      <w:r>
        <w:t xml:space="preserve">) lo carga y predice </w:t>
      </w:r>
      <w:r>
        <w:rPr>
          <w:b/>
          <w:bCs/>
        </w:rPr>
        <w:t xml:space="preserve">sin re-entrenar</w:t>
      </w:r>
      <w:r>
        <w:t xml:space="preserve">. El endpoint </w:t>
      </w:r>
      <w:r>
        <w:rPr>
          <w:rFonts w:ascii="Consolas" w:cs="Consolas" w:eastAsia="Consolas" w:hAnsi="Consolas"/>
          <w:sz w:val="20"/>
          <w:szCs w:val="20"/>
        </w:rPr>
        <w:t xml:space="preserve">/predict/nuevo</w:t>
      </w:r>
      <w:r>
        <w:t xml:space="preserve"> predice el riesgo de un </w:t>
      </w:r>
      <w:r>
        <w:rPr>
          <w:b/>
          <w:bCs/>
        </w:rPr>
        <w:t xml:space="preserve">cliente que el modelo nunca vio</w:t>
      </w:r>
      <w:r>
        <w:t xml:space="preserve"> y explica los </w:t>
      </w:r>
      <w:r>
        <w:rPr>
          <w:b/>
          <w:bCs/>
        </w:rPr>
        <w:t xml:space="preserve">factores</w:t>
      </w:r>
      <w:r>
        <w:t xml:space="preserve"> que empujan la predicción (contribución coeficiente × valor), demostrando </w:t>
      </w:r>
      <w:r>
        <w:rPr>
          <w:b/>
          <w:bCs/>
        </w:rPr>
        <w:t xml:space="preserve">generalización e interpretabilidad</w:t>
      </w:r>
      <w:r>
        <w:t xml:space="preserve">. Un </w:t>
      </w:r>
      <w:r>
        <w:rPr>
          <w:b/>
          <w:bCs/>
        </w:rPr>
        <w:t xml:space="preserve">dashboard Streamlit + Plotly</w:t>
      </w:r>
      <w:r>
        <w:t xml:space="preserve"> consume la tabla </w:t>
      </w:r>
      <w:r>
        <w:rPr>
          <w:rFonts w:ascii="Consolas" w:cs="Consolas" w:eastAsia="Consolas" w:hAnsi="Consolas"/>
          <w:sz w:val="20"/>
          <w:szCs w:val="20"/>
        </w:rPr>
        <w:t xml:space="preserve">predicciones</w:t>
      </w:r>
      <w:r>
        <w:t xml:space="preserve"> como fuente única: KPIs, matriz de confusión, churn por segmento, análisis de errores caso a caso, embudo del pipeline y formulario de cliente nuevo — todo demostrable en vivo.</w:t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Requerimiento de infraestructura de la solución</w:t>
      </w:r>
    </w:p>
    <w:p>
      <w:pPr>
        <w:spacing w:after="120" w:line="360"/>
        <w:jc w:val="both"/>
      </w:pPr>
      <w:r>
        <w:rPr>
          <w:b/>
          <w:bCs/>
        </w:rPr>
        <w:t xml:space="preserve">Decisión nube vs. on-premise:</w:t>
      </w:r>
      <w:r>
        <w:t xml:space="preserve"> se requiere </w:t>
      </w:r>
      <w:r>
        <w:rPr>
          <w:b/>
          <w:bCs/>
        </w:rPr>
        <w:t xml:space="preserve">nube</w:t>
      </w:r>
      <w:r>
        <w:t xml:space="preserve"> como plataforma principal. Justificación: (1) </w:t>
      </w:r>
      <w:r>
        <w:rPr>
          <w:b/>
          <w:bCs/>
        </w:rPr>
        <w:t xml:space="preserve">costo inicial cero</w:t>
      </w:r>
      <w:r>
        <w:t xml:space="preserve"> frente a adquirir y operar servidores propios; (2) </w:t>
      </w:r>
      <w:r>
        <w:rPr>
          <w:b/>
          <w:bCs/>
        </w:rPr>
        <w:t xml:space="preserve">elasticidad</w:t>
      </w:r>
      <w:r>
        <w:t xml:space="preserve"> —los picos de cómputo son breves (entrenamiento: 1,3 s) y no justifican hardware dedicado—; (3) </w:t>
      </w:r>
      <w:r>
        <w:rPr>
          <w:b/>
          <w:bCs/>
        </w:rPr>
        <w:t xml:space="preserve">servicios gestionados</w:t>
      </w:r>
      <w:r>
        <w:t xml:space="preserve"> (PostgreSQL con backups y TLS incluidos) que reducen carga operacional. *On-premise* solo se justificaría por una política estricta de soberanía de datos; la Ley 21.719 no lo exige si el tratamiento cumple sus garantías. La implementación actual ya opera 100% en nube (Railway + Supabase + GitHub), validando la decisión.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Recursos técnicos requeridos (producción organizacional)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50"/>
        <w:gridCol w:w="371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Cómputo — API y predictor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2 servicios de 1–2 vCPU / 2–4 GB RAM c/u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Medición real: ~200 MB RAM y CPU ~10% para 7.043 registros; margen 10× para crecer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Cómputo — trainer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Job bajo demanda (no 24/7), 2 vCPU / 4 GB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Entrena en segundos; pagar solo al ejecutar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Almacenamiento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PostgreSQL gestionado 50 GB, backups diarios, retención 30 días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Base actual &lt; 10 MB; margen para historial de predicciones y nuevas fuentes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Red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TLS 1.2+ en todo el tráfico; servicios y BD en la misma región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El benchmark mostró que la latencia de red domina (~218.8× vs. local): colocalizar reduce el cuello de botella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Disponibilidad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Health checks + reinicio automático; ≥ 2 réplicas del predictor tras balanceador (objetivo 99,9%)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El predictor es sin estado (el modelo vive en la BD): replicar es trivial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Redundancia</w:t>
            </w:r>
          </w:p>
        </w:tc>
        <w:tc>
          <w:tcPr>
            <w:tcW w:type="dxa" w:w="3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Réplica de lectura de la BD + backups verificados</w:t>
            </w:r>
          </w:p>
        </w:tc>
        <w:tc>
          <w:tcPr>
            <w:tcW w:type="dxa" w:w="3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La BD es el único punto único de fallo real del diseño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rPr>
          <w:b/>
          <w:bCs/>
        </w:rPr>
        <w:t xml:space="preserve">Software y dependencias:</w:t>
      </w:r>
      <w:r>
        <w:t xml:space="preserve"> Python 3.11, scikit-learn 1.9 (versión </w:t>
      </w:r>
      <w:r>
        <w:rPr>
          <w:b/>
          <w:bCs/>
        </w:rPr>
        <w:t xml:space="preserve">fijada</w:t>
      </w:r>
      <w:r>
        <w:t xml:space="preserve">: el artefacto serializado exige la misma versión al deserializar), FastAPI/uvicorn, Streamlit, PostgreSQL 17, Docker. </w:t>
      </w:r>
      <w:r>
        <w:rPr>
          <w:b/>
          <w:bCs/>
        </w:rPr>
        <w:t xml:space="preserve">Escalabilidad:</w:t>
      </w:r>
      <w:r>
        <w:t xml:space="preserve"> el diseño escala horizontalmente —el predictor es *stateless* y el pipeline procesa por lotes—; para volúmenes de millones de registros, la evolución natural es particionar la carga por lotes e incorporar un orquestador (Airflow) manteniendo la misma lógica por etapas.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Estrategia de monitoreo</w:t>
      </w:r>
    </w:p>
    <w:p>
      <w:pPr>
        <w:spacing w:after="120" w:line="360"/>
        <w:jc w:val="both"/>
      </w:pPr>
      <w:r>
        <w:t xml:space="preserve">La estrategia cubre </w:t>
      </w:r>
      <w:r>
        <w:rPr>
          <w:b/>
          <w:bCs/>
        </w:rPr>
        <w:t xml:space="preserve">tres planos</w:t>
      </w:r>
      <w:r>
        <w:t xml:space="preserve">: infraestructura (¿está viva la solución?), datos (¿el pipeline procesa bien?) y modelo (¿sigue prediciendo bien?). Se distingue lo </w:t>
      </w:r>
      <w:r>
        <w:rPr>
          <w:b/>
          <w:bCs/>
        </w:rPr>
        <w:t xml:space="preserve">ya implementado</w:t>
      </w:r>
      <w:r>
        <w:t xml:space="preserve"> de la </w:t>
      </w:r>
      <w:r>
        <w:rPr>
          <w:b/>
          <w:bCs/>
        </w:rPr>
        <w:t xml:space="preserve">propuesta de evolución</w:t>
      </w:r>
      <w:r>
        <w:t xml:space="preserve">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Implementado hoy</w:t>
      </w:r>
    </w:p>
    <w:p>
      <w:pPr>
        <w:spacing w:after="120" w:line="360"/>
        <w:jc w:val="both"/>
      </w:pPr>
      <w:r>
        <w:rPr>
          <w:b/>
          <w:bCs/>
        </w:rPr>
        <w:t xml:space="preserve">(1) Salud de servicios:</w:t>
      </w:r>
      <w:r>
        <w:t xml:space="preserve"> cada microservicio expone </w:t>
      </w:r>
      <w:r>
        <w:rPr>
          <w:rFonts w:ascii="Consolas" w:cs="Consolas" w:eastAsia="Consolas" w:hAnsi="Consolas"/>
          <w:sz w:val="20"/>
          <w:szCs w:val="20"/>
        </w:rPr>
        <w:t xml:space="preserve">GET /health</w:t>
      </w:r>
      <w:r>
        <w:t xml:space="preserve">; Railway lo consulta como *health check* y aplica </w:t>
      </w:r>
      <w:r>
        <w:rPr>
          <w:b/>
          <w:bCs/>
        </w:rPr>
        <w:t xml:space="preserve">reinicio automático</w:t>
      </w:r>
      <w:r>
        <w:t xml:space="preserve"> ante fallo (</w:t>
      </w:r>
      <w:r>
        <w:rPr>
          <w:rFonts w:ascii="Consolas" w:cs="Consolas" w:eastAsia="Consolas" w:hAnsi="Consolas"/>
          <w:sz w:val="20"/>
          <w:szCs w:val="20"/>
        </w:rPr>
        <w:t xml:space="preserve">restartPolicyType: ON_FAILURE</w:t>
      </w:r>
      <w:r>
        <w:t xml:space="preserve">). </w:t>
      </w:r>
      <w:r>
        <w:rPr>
          <w:b/>
          <w:bCs/>
        </w:rPr>
        <w:t xml:space="preserve">(2) Auditoría del pipeline:</w:t>
      </w:r>
      <w:r>
        <w:t xml:space="preserve"> cada corrida registra en 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 los registros leídos/insertados/rechazados, duración y estado — un historial consultable de la salud del dato. </w:t>
      </w:r>
      <w:r>
        <w:rPr>
          <w:b/>
          <w:bCs/>
        </w:rPr>
        <w:t xml:space="preserve">(3) Rendimiento:</w:t>
      </w:r>
      <w:r>
        <w:t xml:space="preserve"> medición instrumentada con </w:t>
      </w:r>
      <w:r>
        <w:rPr>
          <w:rFonts w:ascii="Consolas" w:cs="Consolas" w:eastAsia="Consolas" w:hAnsi="Consolas"/>
          <w:sz w:val="20"/>
          <w:szCs w:val="20"/>
        </w:rPr>
        <w:t xml:space="preserve">psutil</w:t>
      </w:r>
      <w:r>
        <w:t xml:space="preserve"> (tiempo por operación, RAM, CPU) documentada en </w:t>
      </w:r>
      <w:r>
        <w:rPr>
          <w:rFonts w:ascii="Consolas" w:cs="Consolas" w:eastAsia="Consolas" w:hAnsi="Consolas"/>
          <w:sz w:val="20"/>
          <w:szCs w:val="20"/>
        </w:rPr>
        <w:t xml:space="preserve">outputs/rendimiento/</w:t>
      </w:r>
      <w:r>
        <w:t xml:space="preserve">. </w:t>
      </w:r>
      <w:r>
        <w:rPr>
          <w:b/>
          <w:bCs/>
        </w:rPr>
        <w:t xml:space="preserve">(4) Visibilidad en vivo:</w:t>
      </w:r>
      <w:r>
        <w:t xml:space="preserve"> el dashboard se auto-refresca y refleja el estado real de la BD (modelo entrenado, predicciones) cada 3 segundos.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Propuesta de evolución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7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clave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 propuesta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Alerta proactiva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Infraestructura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Latencia p95, tasa de error 5xx, RAM/CPU por servicio, uptime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Prometheus + Grafana (exporters en cada servicio)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Slack/correo si p95 &gt; 2 s o error rate &gt; 1%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Datos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% de registros rechazados por corrida, duración del pipeline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Consulta programada sobre carga_logs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Alerta si rechazados &gt; 5% o duración &gt; 2× histórico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Modelo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Deriva de datos (PSI por variable), recall mensual re-etiquetado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Job programado de evaluación contra churn real observado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Alerta si recall &lt; 70% → disparar re-entrenamiento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t xml:space="preserve">La cadena </w:t>
      </w:r>
      <w:r>
        <w:rPr>
          <w:b/>
          <w:bCs/>
        </w:rPr>
        <w:t xml:space="preserve">Jenkins</w:t>
      </w:r>
      <w:r>
        <w:t xml:space="preserve"> del material se cubre en este proyecto con </w:t>
      </w:r>
      <w:r>
        <w:rPr>
          <w:b/>
          <w:bCs/>
        </w:rPr>
        <w:t xml:space="preserve">GitHub Actions</w:t>
      </w:r>
      <w:r>
        <w:t xml:space="preserve"> (mismo rol: CI que ejecuta pytest en cada push); Prometheus/Grafana quedan propuestos porque el valor de monitoreo continuo aparece con operación 24/7 organizacional. El principio rector: </w:t>
      </w:r>
      <w:r>
        <w:rPr>
          <w:b/>
          <w:bCs/>
        </w:rPr>
        <w:t xml:space="preserve">detección de incidencias antes que el usuario</w:t>
      </w:r>
      <w:r>
        <w:t xml:space="preserve"> — la alerta de deriva del modelo es la más importante, porque un modelo degradado falla en silencio.</w:t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Protocolos de seguridad y gobernanza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Controles de seguridad implementados (con mejoras de la Parcial 3)</w:t>
      </w:r>
    </w:p>
    <w:p>
      <w:pPr>
        <w:spacing w:after="120" w:line="360"/>
        <w:jc w:val="both"/>
      </w:pPr>
      <w:r>
        <w:rPr>
          <w:b/>
          <w:bCs/>
        </w:rPr>
        <w:t xml:space="preserve">(1) Credenciales:</w:t>
      </w:r>
      <w:r>
        <w:t xml:space="preserve"> 0 secretos en el código y en el historial de git (verificado); las claves viven en variables de entorno y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está en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. </w:t>
      </w:r>
      <w:r>
        <w:rPr>
          <w:b/>
          <w:bCs/>
        </w:rPr>
        <w:t xml:space="preserve">(2) Acceso a datos:</w:t>
      </w:r>
      <w:r>
        <w:t xml:space="preserve"> </w:t>
      </w:r>
      <w:r>
        <w:rPr>
          <w:b/>
          <w:bCs/>
        </w:rPr>
        <w:t xml:space="preserve">Row-Level Security activo en todas las tablas</w:t>
      </w:r>
      <w:r>
        <w:t xml:space="preserve">, cerradas por defecto; los roles públicos </w:t>
      </w:r>
      <w:r>
        <w:rPr>
          <w:rFonts w:ascii="Consolas" w:cs="Consolas" w:eastAsia="Consolas" w:hAnsi="Consolas"/>
          <w:sz w:val="20"/>
          <w:szCs w:val="20"/>
        </w:rPr>
        <w:t xml:space="preserve">anon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authenticated</w:t>
      </w:r>
      <w:r>
        <w:t xml:space="preserve"> no leen nada; existe un rol de </w:t>
      </w:r>
      <w:r>
        <w:rPr>
          <w:b/>
          <w:bCs/>
        </w:rPr>
        <w:t xml:space="preserve">solo lectura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telco_lectura</w:t>
      </w:r>
      <w:r>
        <w:t xml:space="preserve">) para consumo analítico — privilegio mínimo. </w:t>
      </w:r>
      <w:r>
        <w:rPr>
          <w:b/>
          <w:bCs/>
        </w:rPr>
        <w:t xml:space="preserve">(3) Cifrado:</w:t>
      </w:r>
      <w:r>
        <w:t xml:space="preserve"> TLS en tránsito en toda la cadena (API, BD, dashboard). </w:t>
      </w:r>
      <w:r>
        <w:rPr>
          <w:b/>
          <w:bCs/>
        </w:rPr>
        <w:t xml:space="preserve">(4) Entorno:</w:t>
      </w:r>
      <w:r>
        <w:t xml:space="preserve"> escaneo de dependencias con </w:t>
      </w:r>
      <w:r>
        <w:rPr>
          <w:rFonts w:ascii="Consolas" w:cs="Consolas" w:eastAsia="Consolas" w:hAnsi="Consolas"/>
          <w:sz w:val="20"/>
          <w:szCs w:val="20"/>
        </w:rPr>
        <w:t xml:space="preserve">pip-audit</w:t>
      </w:r>
      <w:r>
        <w:t xml:space="preserve"> (10 CVEs detectados y con plan de actualización) y propuesta de </w:t>
      </w:r>
      <w:r>
        <w:rPr>
          <w:rFonts w:ascii="Consolas" w:cs="Consolas" w:eastAsia="Consolas" w:hAnsi="Consolas"/>
          <w:sz w:val="20"/>
          <w:szCs w:val="20"/>
        </w:rPr>
        <w:t xml:space="preserve">trivy</w:t>
      </w:r>
      <w:r>
        <w:t xml:space="preserve"> para las imágenes. </w:t>
      </w:r>
      <w:r>
        <w:rPr>
          <w:b/>
          <w:bCs/>
        </w:rPr>
        <w:t xml:space="preserve">(5) Auditoría: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carga_logs</w:t>
      </w:r>
      <w:r>
        <w:t xml:space="preserve"> + historial de git + esta auditoría documentada como evidencia.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Gobernanza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 de gobernanza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 en el proyecto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Clasificación de datos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Datos personales no sensibles (género, edad, servicios, cargos); customerID seudonimizado (sin nombre/RUT)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Linaje del dato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Trazable por zonas: raw → clean → validated → BD; cada archivo con timestamp de corrida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Políticas de acceso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Dueño (pipeline, escritura) / telco_lectura (BI, lectura) / anon (bloqueado) — separación de funciones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Versionado del modelo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modelo_artefacto guarda modelo + métricas + fecha: qué modelo estaba en producción y cuándo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Retención y derechos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Indexación por customer_id habilita derechos ARCO (acceso, rectificación, cancelación) de la Ley 21.719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Gestión de riesgos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Matriz: fuga de credenciales (mitigada), CVEs (plan), free tier (keep-alive), deriva del modelo (monitoreo §6)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rPr>
          <w:b/>
          <w:bCs/>
        </w:rPr>
        <w:t xml:space="preserve">Cumplimiento normativo:</w:t>
      </w:r>
      <w:r>
        <w:t xml:space="preserve"> la </w:t>
      </w:r>
      <w:r>
        <w:rPr>
          <w:b/>
          <w:bCs/>
        </w:rPr>
        <w:t xml:space="preserve">Ley 21.719</w:t>
      </w:r>
      <w:r>
        <w:t xml:space="preserve"> (moderniza la 19.628; vigencia plena 01-12-2026, estándar tipo GDPR) se cumple </w:t>
      </w:r>
      <w:r>
        <w:rPr>
          <w:b/>
          <w:bCs/>
        </w:rPr>
        <w:t xml:space="preserve">desde el diseño</w:t>
      </w:r>
      <w:r>
        <w:t xml:space="preserve">: finalidad única (predecir churn), minimización (solo variables necesarias, sin identificadores directos), seguridad (controles anteriores) y responsabilidad proactiva (evidencia auditable). La gobernanza no es un documento aparte: </w:t>
      </w:r>
      <w:r>
        <w:rPr>
          <w:b/>
          <w:bCs/>
        </w:rPr>
        <w:t xml:space="preserve">está embebida en el sistema</w:t>
      </w:r>
      <w:r>
        <w:t xml:space="preserve"> (RLS, logs, zonas, versionado).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Estrategia de despliegue organizacional y beneficios</w:t>
      </w:r>
    </w:p>
    <w:p>
      <w:pPr>
        <w:spacing w:after="120" w:line="360"/>
        <w:jc w:val="both"/>
      </w:pPr>
      <w:r>
        <w:t xml:space="preserve">El despliegue en una organización real se plantea como </w:t>
      </w:r>
      <w:r>
        <w:rPr>
          <w:b/>
          <w:bCs/>
        </w:rPr>
        <w:t xml:space="preserve">adopción progresiva en cuatro fases</w:t>
      </w:r>
      <w:r>
        <w:t xml:space="preserve">, minimizando el impacto operacional y generando confianza con resultados tempranos: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60"/>
        <w:gridCol w:w="27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para avanzar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1. Piloto (4–6 semanas)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Equipo de retención usa el dashboard (solo lectura) sobre la cartera; contacto manual del top-100 en riesgo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Tasa de retención del grupo contactado &gt; grupo control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2. Integración CRM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El CRM consulta el predictor vía API (predicción individual en la ficha del cliente)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Adopción por ejecutivos; latencia &lt; 1 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3. Automatización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Scoring batch semanal alimenta campañas segmentadas automáticas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ROI de campañas &gt; costo de incentivos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4. Operación continua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Re-entrenamiento programado + monitoreo de deriva (§6) + comité de gobernanza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Recall estable ≥ 75% en producción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rPr>
          <w:b/>
          <w:bCs/>
        </w:rPr>
        <w:t xml:space="preserve">Integración con sistemas existentes:</w:t>
      </w:r>
      <w:r>
        <w:t xml:space="preserve"> la API REST es el contrato — el CRM consume </w:t>
      </w:r>
      <w:r>
        <w:rPr>
          <w:rFonts w:ascii="Consolas" w:cs="Consolas" w:eastAsia="Consolas" w:hAnsi="Consolas"/>
          <w:sz w:val="20"/>
          <w:szCs w:val="20"/>
        </w:rPr>
        <w:t xml:space="preserve">POST /predict/nuevo</w:t>
      </w:r>
      <w:r>
        <w:t xml:space="preserve"> (predicción al vuelo con factores explicativos, útil para el ejecutivo en llamada) y el batch semanal actualiza </w:t>
      </w:r>
      <w:r>
        <w:rPr>
          <w:rFonts w:ascii="Consolas" w:cs="Consolas" w:eastAsia="Consolas" w:hAnsi="Consolas"/>
          <w:sz w:val="20"/>
          <w:szCs w:val="20"/>
        </w:rPr>
        <w:t xml:space="preserve">predicciones</w:t>
      </w:r>
      <w:r>
        <w:t xml:space="preserve"> para los tableros. </w:t>
      </w:r>
      <w:r>
        <w:rPr>
          <w:b/>
          <w:bCs/>
        </w:rPr>
        <w:t xml:space="preserve">Migración de datos:</w:t>
      </w:r>
      <w:r>
        <w:t xml:space="preserve"> el pipeline ya acepta la fuente por archivo; conectarlo al sistema transaccional real solo cambia la etapa de ingesta (el resto del pipeline no se toca). </w:t>
      </w:r>
      <w:r>
        <w:rPr>
          <w:b/>
          <w:bCs/>
        </w:rPr>
        <w:t xml:space="preserve">Capacitación:</w:t>
      </w:r>
      <w:r>
        <w:t xml:space="preserve"> sesiones cortas por rol (ejecutivos: leer el dashboard y el porqué de cada predicción; analistas: interpretar métricas; TI: operación y alertas). </w:t>
      </w:r>
      <w:r>
        <w:rPr>
          <w:b/>
          <w:bCs/>
        </w:rPr>
        <w:t xml:space="preserve">Actualizaciones sin riesgo:</w:t>
      </w:r>
      <w:r>
        <w:t xml:space="preserve"> el versionado del modelo en </w:t>
      </w:r>
      <w:r>
        <w:rPr>
          <w:rFonts w:ascii="Consolas" w:cs="Consolas" w:eastAsia="Consolas" w:hAnsi="Consolas"/>
          <w:sz w:val="20"/>
          <w:szCs w:val="20"/>
        </w:rPr>
        <w:t xml:space="preserve">modelo_artefacto</w:t>
      </w:r>
      <w:r>
        <w:t xml:space="preserve"> permite *rollback* inmediato al modelo anterior si una versión nueva degrada.</w:t>
      </w:r>
    </w:p>
    <w:p>
      <w:pPr>
        <w:spacing w:after="120" w:line="360"/>
        <w:jc w:val="both"/>
      </w:pPr>
      <w:r>
        <w:rPr>
          <w:b/>
          <w:bCs/>
        </w:rPr>
        <w:t xml:space="preserve">Beneficios esperados:</w:t>
      </w:r>
      <w:r>
        <w:t xml:space="preserve"> con recall del 79.7%, de cada 100 fugas el sistema anticipa ~80; incluso reteniendo solo una fracción de ellas, el ahorro supera con holgura el costo de operación (la infraestructura del §5 es de bajo costo). Beneficios cualitativos: decisiones basadas en datos, trazabilidad ante auditorías y cumplimiento normativo demostrable.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Hallazgos, limitaciones y plan de mejoras</w:t>
      </w:r>
    </w:p>
    <w:p>
      <w:pPr>
        <w:spacing w:after="120" w:line="360"/>
        <w:jc w:val="both"/>
      </w:pPr>
      <w:r>
        <w:t xml:space="preserve">Limitaciones detectadas </w:t>
      </w:r>
      <w:r>
        <w:rPr>
          <w:b/>
          <w:bCs/>
        </w:rPr>
        <w:t xml:space="preserve">con evidencia</w:t>
      </w:r>
      <w:r>
        <w:t xml:space="preserve">, la mejora que deriva de cada una y cómo se implementaría: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2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Limitación (evidencia)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Mejora propuesta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Precisión 50,9%: 1 de 2 alarmas es falsa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Ajustar umbral de decisión / priorizar por probabilidad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Barrido del umbral sobre el holdout optimizando F1 o costo de negocio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Random Forest sobreajusta (recall 100% train → 63,5% test)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Regularización (max_depth, min_samples_leaf)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Búsqueda de hiperparámetros con validación cruzada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Dataset pequeño y desbalanceado (7.043; 26,5%)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Validación cruzada k-fold + feature engineering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cross_val_score (k=5) en el modo --eval del pipeline de modelado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Latencia de red domina (~218.8× vs. local)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Colocalizar cómputo y datos / cachear lecturas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Misma región Railway–Supabase; caché del artefacto ya implementada en el predictor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10 CVEs en dependencias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Actualización planificada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Renovar python-dotenv de inmediato; upgrade coordinado de FastAPI/starlette con re-test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Free tier se suspende por inactividad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Keep-alive o tier pago en producción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Ping programado a /health; en organización: plan de pago (§5)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60"/>
        <w:jc w:val="both"/>
      </w:pPr>
      <w:r>
        <w:t xml:space="preserve">El </w:t>
      </w:r>
      <w:r>
        <w:rPr>
          <w:b/>
          <w:bCs/>
        </w:rPr>
        <w:t xml:space="preserve">hallazgo transversal</w:t>
      </w:r>
      <w:r>
        <w:t xml:space="preserve"> de las mediciones: el costo real de la solución no está en el cómputo del modelo (segundos) sino en la </w:t>
      </w:r>
      <w:r>
        <w:rPr>
          <w:b/>
          <w:bCs/>
        </w:rPr>
        <w:t xml:space="preserve">latencia de red</w:t>
      </w:r>
      <w:r>
        <w:t xml:space="preserve"> y en la </w:t>
      </w:r>
      <w:r>
        <w:rPr>
          <w:b/>
          <w:bCs/>
        </w:rPr>
        <w:t xml:space="preserve">operación</w:t>
      </w:r>
      <w:r>
        <w:t xml:space="preserve"> (monitoreo, seguridad, gobernanza) — exactamente lo que este informe planifica en los §5–§8. Varias mejoras propuestas en parciales anteriores </w:t>
      </w:r>
      <w:r>
        <w:rPr>
          <w:b/>
          <w:bCs/>
        </w:rPr>
        <w:t xml:space="preserve">ya fueron implementadas</w:t>
      </w:r>
      <w:r>
        <w:t xml:space="preserve">: microservicios de entrenamiento/inferencia separados, rol de solo lectura y predicción sobre clientes no vistos con explicación de factores.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Conclusiones</w:t>
      </w:r>
    </w:p>
    <w:p>
      <w:pPr>
        <w:spacing w:after="120" w:line="360"/>
        <w:jc w:val="both"/>
      </w:pPr>
      <w:r>
        <w:t xml:space="preserve">El proyecto cierra el ciclo completo de una solución de datos e IA: desde el dato crudo hasta un modelo en producción con </w:t>
      </w:r>
      <w:r>
        <w:rPr>
          <w:b/>
          <w:bCs/>
        </w:rPr>
        <w:t xml:space="preserve">recall del 79.7%</w:t>
      </w:r>
      <w:r>
        <w:t xml:space="preserve">, dashboard de BI y demo reproducible en vivo, y ahora con su </w:t>
      </w:r>
      <w:r>
        <w:rPr>
          <w:b/>
          <w:bCs/>
        </w:rPr>
        <w:t xml:space="preserve">plan de operación organizacional</w:t>
      </w:r>
      <w:r>
        <w:t xml:space="preserve"> (infraestructura dimensionada con mediciones reales, monitoreo en tres planos, gobernanza embebida y despliegue progresivo). La arquitectura desacoplada demostró su valor: cada mejora (microservicios, predicción de clientes nuevos, endurecimiento de seguridad) se incorporó </w:t>
      </w:r>
      <w:r>
        <w:rPr>
          <w:b/>
          <w:bCs/>
        </w:rPr>
        <w:t xml:space="preserve">sin rehacer</w:t>
      </w:r>
      <w:r>
        <w:t xml:space="preserve"> lo anterior.</w:t>
      </w:r>
    </w:p>
    <w:p>
      <w:pPr>
        <w:spacing w:after="120" w:line="360"/>
        <w:jc w:val="both"/>
      </w:pPr>
      <w:r>
        <w:t xml:space="preserve">Los aprendizajes clave: (1) en clases desbalanceadas, la </w:t>
      </w:r>
      <w:r>
        <w:rPr>
          <w:b/>
          <w:bCs/>
        </w:rPr>
        <w:t xml:space="preserve">métrica correcta</w:t>
      </w:r>
      <w:r>
        <w:t xml:space="preserve"> (recall) vale más que la exactitud aparente; (2) la </w:t>
      </w:r>
      <w:r>
        <w:rPr>
          <w:b/>
          <w:bCs/>
        </w:rPr>
        <w:t xml:space="preserve">operación</w:t>
      </w:r>
      <w:r>
        <w:t xml:space="preserve"> —monitoreo, seguridad, gobernanza— es tan determinante como el modelo para que la solución genere valor sostenido; y (3) medir antes de dimensionar: el requerimiento de infraestructura de este informe se apoya en benchmarks reales, no en supuestos.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Anexo A — Evidencias y 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Repositorio GitHub (código + CI)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github.com/BenjaminHeresmann/telco-churn-pipeline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API del pipeline (Swagger)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telco-api-production-e466.up.railway.app/docs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Microservicio trainer (Swagger)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telco-trainer-production.up.railway.app/docs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Microservicio predictor (Swagger)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telco-predictor-production.up.railway.app/docs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Dashboard BI en vivo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telco-dashboard-production.up.railway.app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Presentación (deck)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deck-benjaminheresmanns-projects.vercel.app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Modelo, métricas y auditoría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src/modelo.py · outputs/modelo/ · outputs/seguridad/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Informes previos (Fase 1 y 2)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t xml:space="preserve">docs/Informe_Tecnico_Evaluacion2.pdf · docs/Informe_Tecnico_Evaluacion3.pdf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60"/>
        <w:jc w:val="both"/>
      </w:pPr>
      <w:r>
        <w:t xml:space="preserve">Las cifras de este informe se generan automáticamente desde los artefactos reales del proyecto (</w:t>
      </w:r>
      <w:r>
        <w:rPr>
          <w:rFonts w:ascii="Consolas" w:cs="Consolas" w:eastAsia="Consolas" w:hAnsi="Consolas"/>
          <w:sz w:val="20"/>
          <w:szCs w:val="20"/>
        </w:rPr>
        <w:t xml:space="preserve">outputs/modelo/metricas_modelos.csv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outputs/rendimiento/benchmark.json</w:t>
      </w:r>
      <w:r>
        <w:t xml:space="preserve">), garantizando trazabilidad y reproducibilidad.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Informe EFT · Telco Churn · ITY1101 Duoc UC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49bb8bc30f5fa377a00a46b95d856b954b905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EFT - Telco Churn - ITY1101</dc:title>
  <dc:creator>Benjamín Heresmann · Diego Hernández</dc:creator>
  <cp:lastModifiedBy>Un-named</cp:lastModifiedBy>
  <cp:revision>1</cp:revision>
  <dcterms:created xsi:type="dcterms:W3CDTF">2026-07-12T19:35:31.978Z</dcterms:created>
  <dcterms:modified xsi:type="dcterms:W3CDTF">2026-07-12T19:35:31.979Z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