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DUOC UC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Escuela de Informática y Telecomunicaciones</w:t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Informe Técnico — Evaluación Parcial N°2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Pipeline DataOps para Predicción de Churn en Telecomunicaciones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14425"/>
            <wp:effectExtent t="0" r="0" b="0" l="0"/>
            <wp:docPr id="1" name="Arquitectura cloud" descr="Arquitectura cloud" title="Arquitectura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ITY1101 — Gestión de Datos para IA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Telco Customer Churn (clasificación de abandono)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Benjamín Heresmann · Diego Hernández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modular cloud (FastAPI · Railway · Supabase)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PMBOK híbrido (predictivo + adaptativo)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de junio de 2026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Índice</w:t>
      </w:r>
    </w:p>
    <w:p>
      <w:pPr>
        <w:spacing w:after="60" w:line="360"/>
      </w:pPr>
      <w:r>
        <w:rPr>
          <w:sz w:val="22"/>
          <w:szCs w:val="22"/>
        </w:rPr>
        <w:t xml:space="preserve">1. Resumen ejecutivo</w:t>
      </w:r>
    </w:p>
    <w:p>
      <w:pPr>
        <w:spacing w:after="60" w:line="360"/>
      </w:pPr>
      <w:r>
        <w:rPr>
          <w:sz w:val="22"/>
          <w:szCs w:val="22"/>
        </w:rPr>
        <w:t xml:space="preserve">2. Justificación de la metodología PMBOK</w:t>
      </w:r>
    </w:p>
    <w:p>
      <w:pPr>
        <w:spacing w:after="60" w:line="360"/>
      </w:pPr>
      <w:r>
        <w:rPr>
          <w:sz w:val="22"/>
          <w:szCs w:val="22"/>
        </w:rPr>
        <w:t xml:space="preserve">3. Planificación del proyecto (WBS, hitos, Carta Gantt, seguimiento)</w:t>
      </w:r>
    </w:p>
    <w:p>
      <w:pPr>
        <w:spacing w:after="60" w:line="360"/>
      </w:pPr>
      <w:r>
        <w:rPr>
          <w:sz w:val="22"/>
          <w:szCs w:val="22"/>
        </w:rPr>
        <w:t xml:space="preserve">4. Arquitectura cloud desacoplada</w:t>
      </w:r>
    </w:p>
    <w:p>
      <w:pPr>
        <w:spacing w:after="60" w:line="360"/>
      </w:pPr>
      <w:r>
        <w:rPr>
          <w:sz w:val="22"/>
          <w:szCs w:val="22"/>
        </w:rPr>
        <w:t xml:space="preserve">5. Explicación técnica del pipeline (4 etapas)</w:t>
      </w:r>
    </w:p>
    <w:p>
      <w:pPr>
        <w:spacing w:after="60" w:line="360"/>
      </w:pPr>
      <w:r>
        <w:rPr>
          <w:sz w:val="22"/>
          <w:szCs w:val="22"/>
        </w:rPr>
        <w:t xml:space="preserve">6. Plan de seguridad para entorno DataOps</w:t>
      </w:r>
    </w:p>
    <w:p>
      <w:pPr>
        <w:spacing w:after="60" w:line="360"/>
      </w:pPr>
      <w:r>
        <w:rPr>
          <w:sz w:val="22"/>
          <w:szCs w:val="22"/>
        </w:rPr>
        <w:t xml:space="preserve">7. Estrategia de KPIs de monitoreo</w:t>
      </w:r>
    </w:p>
    <w:p>
      <w:pPr>
        <w:spacing w:after="60" w:line="360"/>
      </w:pPr>
      <w:r>
        <w:rPr>
          <w:sz w:val="22"/>
          <w:szCs w:val="22"/>
        </w:rPr>
        <w:t xml:space="preserve">8. Documentación, evidencias y modelo de datos</w:t>
      </w:r>
    </w:p>
    <w:p>
      <w:pPr>
        <w:spacing w:after="60" w:line="360"/>
      </w:pPr>
      <w:r>
        <w:rPr>
          <w:sz w:val="22"/>
          <w:szCs w:val="22"/>
        </w:rPr>
        <w:t xml:space="preserve">9. Conclusiones y próximos pasos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line="360"/>
        <w:jc w:val="both"/>
      </w:pPr>
      <w:r>
        <w:t xml:space="preserve">Este informe documenta el diseño, planificación e implementación de un pipeline de datos automatizado, bajo principios </w:t>
      </w:r>
      <w:r>
        <w:rPr>
          <w:b/>
          <w:bCs/>
        </w:rPr>
        <w:t xml:space="preserve">DataOps</w:t>
      </w:r>
      <w:r>
        <w:t xml:space="preserve">, para una compañía de telecomunicaciones que enfrenta un alto índice de abandono de clientes (</w:t>
      </w:r>
      <w:r>
        <w:rPr>
          <w:b/>
          <w:bCs/>
        </w:rPr>
        <w:t xml:space="preserve">churn</w:t>
      </w:r>
      <w:r>
        <w:t xml:space="preserve"> ≈ 26,5%). El proyecto usa el dataset público “Telco Customer Churn” (7.043 clientes, 21 variables) para construir un flujo de cuatro etapas —ingesta, limpieza y transformación, validación estructural y semántica, y carga a base de datos relacional— que deja la información lista para entrenar un modelo predictivo de IA en la Evaluación 3.</w:t>
      </w:r>
    </w:p>
    <w:p>
      <w:pPr>
        <w:spacing w:after="120" w:line="360"/>
        <w:jc w:val="both"/>
      </w:pPr>
      <w:r>
        <w:t xml:space="preserve">El </w:t>
      </w:r>
      <w:r>
        <w:rPr>
          <w:b/>
          <w:bCs/>
        </w:rPr>
        <w:t xml:space="preserve">valor para la organización</w:t>
      </w:r>
      <w:r>
        <w:t xml:space="preserve"> es doble: reduce el costo y los errores de la preparación manual de datos, y habilita la focalización de campañas de retención sobre los clientes con mayor probabilidad de abandono, protegiendo los ingresos recurrentes. La solución se implementa con una </w:t>
      </w:r>
      <w:r>
        <w:rPr>
          <w:b/>
          <w:bCs/>
        </w:rPr>
        <w:t xml:space="preserve">arquitectura cloud-native desacoplada</w:t>
      </w:r>
      <w:r>
        <w:t xml:space="preserve">: el procesamiento corre como API REST en </w:t>
      </w:r>
      <w:r>
        <w:rPr>
          <w:b/>
          <w:bCs/>
        </w:rPr>
        <w:t xml:space="preserve">Railway</w:t>
      </w:r>
      <w:r>
        <w:t xml:space="preserve"> (cómputo), la persistencia usa </w:t>
      </w:r>
      <w:r>
        <w:rPr>
          <w:b/>
          <w:bCs/>
        </w:rPr>
        <w:t xml:space="preserve">PostgreSQL gestionado en Supabase</w:t>
      </w:r>
      <w:r>
        <w:t xml:space="preserve"> (datos), y el código se versiona en </w:t>
      </w:r>
      <w:r>
        <w:rPr>
          <w:b/>
          <w:bCs/>
        </w:rPr>
        <w:t xml:space="preserve">GitHub</w:t>
      </w:r>
      <w:r>
        <w:t xml:space="preserve"> con CI automatizado (pytest en cada push). No es un monolito: cada componente escala y se despliega de forma independiente. El sistema está desplegado, probado end-to-end y operativo en producción.</w:t>
      </w:r>
    </w:p>
    <w:p>
      <w:pPr>
        <w:spacing w:after="120" w:line="360"/>
        <w:jc w:val="both"/>
      </w:pPr>
      <w:r>
        <w:t xml:space="preserve">El equipo, autorizado por el docente a operar con </w:t>
      </w:r>
      <w:r>
        <w:rPr>
          <w:b/>
          <w:bCs/>
        </w:rPr>
        <w:t xml:space="preserve">dos integrantes</w:t>
      </w:r>
      <w:r>
        <w:t xml:space="preserve">, dividió las responsabilidades técnicas de forma equitativa manteniendo dominio individual de toda la solución.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Justificación de la metodología PMBOK</w:t>
      </w:r>
    </w:p>
    <w:p>
      <w:pPr>
        <w:spacing w:after="120" w:line="360"/>
        <w:jc w:val="both"/>
      </w:pPr>
      <w:r>
        <w:t xml:space="preserve">Se adopta un </w:t>
      </w:r>
      <w:r>
        <w:rPr>
          <w:b/>
          <w:bCs/>
        </w:rPr>
        <w:t xml:space="preserve">enfoque híbrido del PMBOK</w:t>
      </w:r>
      <w:r>
        <w:t xml:space="preserve"> (predictivo + adaptativo). El </w:t>
      </w:r>
      <w:r>
        <w:rPr>
          <w:b/>
          <w:bCs/>
        </w:rPr>
        <w:t xml:space="preserve">componente predictivo</w:t>
      </w:r>
      <w:r>
        <w:t xml:space="preserve"> se aplica a actividades de requisitos fijos y dependencias claras —modelado de la base de datos, esquema de validación, Dockerfile e integración con el repositorio—, planificadas con cronograma, hitos y entregables. El </w:t>
      </w:r>
      <w:r>
        <w:rPr>
          <w:b/>
          <w:bCs/>
        </w:rPr>
        <w:t xml:space="preserve">componente adaptativo</w:t>
      </w:r>
      <w:r>
        <w:t xml:space="preserve"> se aplica a lo exploratorio —afinamiento de reglas de validación semántica, KPIs y ensayo de la demo—, trabajado en ciclos cortos con revisión cruzada entre los integrantes.</w:t>
      </w:r>
    </w:p>
    <w:p>
      <w:pPr>
        <w:spacing w:after="120" w:line="360"/>
        <w:jc w:val="both"/>
      </w:pPr>
      <w:r>
        <w:t xml:space="preserve">Una metodología puramente cascada sería rígida frente a los hallazgos que aparecen al procesar el dataset por primera vez; una puramente ágil desordenaría las dependencias técnicas. El híbrido permite </w:t>
      </w:r>
      <w:r>
        <w:rPr>
          <w:b/>
          <w:bCs/>
        </w:rPr>
        <w:t xml:space="preserve">planificar lo estable e iterar lo incierto</w:t>
      </w:r>
      <w:r>
        <w:t xml:space="preserve">, coherente con un equipo pequeño y un plazo acotado. El seguimiento se realiza con un tablero </w:t>
      </w:r>
      <w:r>
        <w:rPr>
          <w:b/>
          <w:bCs/>
        </w:rPr>
        <w:t xml:space="preserve">Trello</w:t>
      </w:r>
      <w:r>
        <w:t xml:space="preserve"> (columnas Por hacer / En progreso / Terminado), elegido sobre Jira o Azure DevOps por simplicidad y escala del equipo.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Planificación del proyecto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Estructura de Desglose del Trabajo (WBS) e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1. Setup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Arquitectura, stack, repo, Docker, DDL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Repo y entorno cloud operativo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2. Pipeline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Ingesta, limpieza, validación, carga, orquestador, KPIs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Pipeline end-to-end funcional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3. Calidad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Tests, auditoría, plan de seguridad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Tests verdes + reporte auditoría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4. Documentación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Informe, diagramas, slides, ensayo demo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Informe PDF + presentación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b/>
          <w:bCs/>
        </w:rPr>
        <w:t xml:space="preserve">Hitos:</w:t>
      </w:r>
      <w:r>
        <w:t xml:space="preserve"> H1 — stack y entorno cloud operativo; H2 — pipeline end-to-end cargando datos en Supabase; H3 — documentación, auditoría y demo listas para la defensa.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Carta Gantt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162050"/>
            <wp:effectExtent t="0" r="0" b="0" l="0"/>
            <wp:docPr id="1" name="Carta Gantt" descr="Carta Gantt" title="Carta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Arquitectura cloud desacoplada</w:t>
      </w:r>
    </w:p>
    <w:p>
      <w:pPr>
        <w:spacing w:after="120" w:line="360"/>
        <w:jc w:val="both"/>
      </w:pPr>
      <w:r>
        <w:t xml:space="preserve">A solicitud del docente, la solución </w:t>
      </w:r>
      <w:r>
        <w:rPr>
          <w:b/>
          <w:bCs/>
        </w:rPr>
        <w:t xml:space="preserve">no es un monolito</w:t>
      </w:r>
      <w:r>
        <w:t xml:space="preserve"> y queda desplegada en la nube. Se diseñan tres servicios independientes que se comunican por interfaces estándar (HTTPS REST y SQL sobre TLS):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49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Datos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Supabase (PostgreSQL 17)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Persiste datos curados, auditoría y rechazados; SSL nativo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Cómputo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Railway (Docker + FastAPI)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Ejecuta el pipeline expuesto como API REST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CI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GitHub Actions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Corre pytest en cada push (gate de calidad)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railway up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Deploy por comando (gate humano; auto-deploy activable)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rPr>
          <w:b/>
          <w:bCs/>
        </w:rPr>
        <w:t xml:space="preserve">Por qué desacoplar:</w:t>
      </w:r>
      <w:r>
        <w:t xml:space="preserve"> cada servicio se actualiza, escala y reinicia por separado; si Railway cae, la BD permanece; si crece el tráfico se escala solo la API; y sustituir un componente (p. ej. cambiar Supabase por otro Postgres) solo implica actualizar la cadena de conexión. Esto reduce el radio de impacto de cualquier fallo frente a un monolito.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238250"/>
            <wp:effectExtent t="0" r="0" b="0" l="0"/>
            <wp:docPr id="1" name="Arquitectura" descr="Arquitectura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both"/>
      </w:pPr>
      <w:r>
        <w:t xml:space="preserve">La API expone cada etapa como endpoint REST independiente (</w:t>
      </w:r>
      <w:r>
        <w:rPr>
          <w:rFonts w:ascii="Consolas" w:cs="Consolas" w:eastAsia="Consolas" w:hAnsi="Consolas"/>
          <w:sz w:val="20"/>
          <w:szCs w:val="20"/>
        </w:rPr>
        <w:t xml:space="preserve">/pipeline/ingest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/clean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/validate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/load</w:t>
      </w:r>
      <w:r>
        <w:t xml:space="preserve">) más un orquestador </w:t>
      </w:r>
      <w:r>
        <w:rPr>
          <w:rFonts w:ascii="Consolas" w:cs="Consolas" w:eastAsia="Consolas" w:hAnsi="Consolas"/>
          <w:sz w:val="20"/>
          <w:szCs w:val="20"/>
        </w:rPr>
        <w:t xml:space="preserve">/pipeline/run</w:t>
      </w:r>
      <w:r>
        <w:t xml:space="preserve">, además de monitoreo (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/kpis/resumen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/kpis/last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/logs/last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/rechazados</w:t>
      </w:r>
      <w:r>
        <w:t xml:space="preserve">) y documentación interactiva autogenerada en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 (Swagger).</w:t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Explicación técnica del pipeline</w:t>
      </w:r>
    </w:p>
    <w:p>
      <w:pPr>
        <w:spacing w:after="120" w:before="120"/>
        <w:jc w:val="center"/>
      </w:pPr>
      <w:r>
        <w:drawing>
          <wp:inline distT="0" distB="0" distL="0" distR="0">
            <wp:extent cx="1485900" cy="4476750"/>
            <wp:effectExtent t="0" r="0" b="0" l="0"/>
            <wp:docPr id="1" name="Pipeline 4 etapas" descr="Pipeline 4 etapas" title="Pipeline 4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Ingesta</w:t>
      </w:r>
    </w:p>
    <w:p>
      <w:pPr>
        <w:spacing w:after="120" w:line="360"/>
        <w:jc w:val="both"/>
      </w:pPr>
      <w:r>
        <w:t xml:space="preserve">Captura el CSV fuente y lo deposita en </w:t>
      </w:r>
      <w:r>
        <w:rPr>
          <w:rFonts w:ascii="Consolas" w:cs="Consolas" w:eastAsia="Consolas" w:hAnsi="Consolas"/>
          <w:sz w:val="20"/>
          <w:szCs w:val="20"/>
        </w:rPr>
        <w:t xml:space="preserve">data/raw/</w:t>
      </w:r>
      <w:r>
        <w:t xml:space="preserve"> con sello temporal, sin transformarlo. Estrategia de fuentes en cascada: parámetro explícito → Supabase Storage → ruta local → </w:t>
      </w:r>
      <w:r>
        <w:rPr>
          <w:b/>
          <w:bCs/>
        </w:rPr>
        <w:t xml:space="preserve">fallback por defecto: dataset versionado en el repo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data/source/</w:t>
      </w:r>
      <w:r>
        <w:t xml:space="preserve">), que viaja dentro de la imagen Docker. Se elige </w:t>
      </w:r>
      <w:r>
        <w:rPr>
          <w:b/>
          <w:bCs/>
        </w:rPr>
        <w:t xml:space="preserve">ingesta por lotes (batch)</w:t>
      </w:r>
      <w:r>
        <w:t xml:space="preserve"> porque el dato es un CSV estático; streaming/Kafka sería sobreingeniería. El dataset versionado hace la ingesta reproducible y sin dependencias externas en la demo.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Limpieza y transformación</w:t>
      </w:r>
    </w:p>
    <w:p>
      <w:pPr>
        <w:spacing w:after="120" w:line="360"/>
        <w:jc w:val="both"/>
      </w:pPr>
      <w:r>
        <w:t xml:space="preserve">Normaliza y enriquece sin aplicar reglas de negocio: (1) convierte </w:t>
      </w:r>
      <w:r>
        <w:rPr>
          <w:rFonts w:ascii="Consolas" w:cs="Consolas" w:eastAsia="Consolas" w:hAnsi="Consolas"/>
          <w:sz w:val="20"/>
          <w:szCs w:val="20"/>
        </w:rPr>
        <w:t xml:space="preserve">TotalCharges</w:t>
      </w:r>
      <w:r>
        <w:t xml:space="preserve"> de texto con celdas vacías a numérico —resolviendo el bug clásico del dataset—, imputando 0 a los 11 clientes con </w:t>
      </w:r>
      <w:r>
        <w:rPr>
          <w:rFonts w:ascii="Consolas" w:cs="Consolas" w:eastAsia="Consolas" w:hAnsi="Consolas"/>
          <w:sz w:val="20"/>
          <w:szCs w:val="20"/>
        </w:rPr>
        <w:t xml:space="preserve">tenure=0</w:t>
      </w:r>
      <w:r>
        <w:t xml:space="preserve"> (recién registrados, sin facturación, imputación justificada); (2) convierte columnas Yes/No a booleano; (3) elimina duplicados por </w:t>
      </w:r>
      <w:r>
        <w:rPr>
          <w:rFonts w:ascii="Consolas" w:cs="Consolas" w:eastAsia="Consolas" w:hAnsi="Consolas"/>
          <w:sz w:val="20"/>
          <w:szCs w:val="20"/>
        </w:rPr>
        <w:t xml:space="preserve">customerID</w:t>
      </w:r>
      <w:r>
        <w:t xml:space="preserve">; (4) crea la feature derivada </w:t>
      </w:r>
      <w:r>
        <w:rPr>
          <w:rFonts w:ascii="Consolas" w:cs="Consolas" w:eastAsia="Consolas" w:hAnsi="Consolas"/>
          <w:sz w:val="20"/>
          <w:szCs w:val="20"/>
        </w:rPr>
        <w:t xml:space="preserve">tenure_group</w:t>
      </w:r>
      <w:r>
        <w:t xml:space="preserve"> (5 rangos). Se trabaja sobre copia, nunca sobre el crudo.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Validación estructural y semántica</w:t>
      </w:r>
    </w:p>
    <w:p>
      <w:pPr>
        <w:spacing w:after="120" w:line="360"/>
        <w:jc w:val="both"/>
      </w:pPr>
      <w:r>
        <w:rPr>
          <w:b/>
          <w:bCs/>
        </w:rPr>
        <w:t xml:space="preserve">Estructural (pandera):</w:t>
      </w:r>
      <w:r>
        <w:t xml:space="preserve"> tipos por columna, rangos (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 0–100,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 ≥ 0), valores permitidos en categóricas y formato de </w:t>
      </w:r>
      <w:r>
        <w:rPr>
          <w:rFonts w:ascii="Consolas" w:cs="Consolas" w:eastAsia="Consolas" w:hAnsi="Consolas"/>
          <w:sz w:val="20"/>
          <w:szCs w:val="20"/>
        </w:rPr>
        <w:t xml:space="preserve">customerID</w:t>
      </w:r>
      <w:r>
        <w:t xml:space="preserve"> por expresión regular. </w:t>
      </w:r>
      <w:r>
        <w:rPr>
          <w:b/>
          <w:bCs/>
        </w:rPr>
        <w:t xml:space="preserve">Semántica (reglas de negocio):</w:t>
      </w:r>
      <w:r>
        <w:t xml:space="preserve"> coherencia entre campos —si </w:t>
      </w:r>
      <w:r>
        <w:rPr>
          <w:rFonts w:ascii="Consolas" w:cs="Consolas" w:eastAsia="Consolas" w:hAnsi="Consolas"/>
          <w:sz w:val="20"/>
          <w:szCs w:val="20"/>
        </w:rPr>
        <w:t xml:space="preserve">InternetService=No</w:t>
      </w:r>
      <w:r>
        <w:t xml:space="preserve">, los seis servicios derivados deben ser “No internet service”; si </w:t>
      </w:r>
      <w:r>
        <w:rPr>
          <w:rFonts w:ascii="Consolas" w:cs="Consolas" w:eastAsia="Consolas" w:hAnsi="Consolas"/>
          <w:sz w:val="20"/>
          <w:szCs w:val="20"/>
        </w:rPr>
        <w:t xml:space="preserve">PhoneService=False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MultipleLines</w:t>
      </w:r>
      <w:r>
        <w:t xml:space="preserve"> debe ser “No phone service”; coherencia de </w:t>
      </w:r>
      <w:r>
        <w:rPr>
          <w:rFonts w:ascii="Consolas" w:cs="Consolas" w:eastAsia="Consolas" w:hAnsi="Consolas"/>
          <w:sz w:val="20"/>
          <w:szCs w:val="20"/>
        </w:rPr>
        <w:t xml:space="preserve">TotalCharges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×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. Las filas válidas pasan a </w:t>
      </w:r>
      <w:r>
        <w:rPr>
          <w:rFonts w:ascii="Consolas" w:cs="Consolas" w:eastAsia="Consolas" w:hAnsi="Consolas"/>
          <w:sz w:val="20"/>
          <w:szCs w:val="20"/>
        </w:rPr>
        <w:t xml:space="preserve">data/validated/</w:t>
      </w:r>
      <w:r>
        <w:t xml:space="preserve">; las inválidas a </w:t>
      </w:r>
      <w:r>
        <w:rPr>
          <w:rFonts w:ascii="Consolas" w:cs="Consolas" w:eastAsia="Consolas" w:hAnsi="Consolas"/>
          <w:sz w:val="20"/>
          <w:szCs w:val="20"/>
        </w:rPr>
        <w:t xml:space="preserve">data/rejected/</w:t>
      </w:r>
      <w:r>
        <w:t xml:space="preserve"> con su </w:t>
      </w:r>
      <w:r>
        <w:rPr>
          <w:b/>
          <w:bCs/>
        </w:rPr>
        <w:t xml:space="preserve">motivo</w:t>
      </w:r>
      <w:r>
        <w:t xml:space="preserve">, y se auditan en la tabla </w:t>
      </w:r>
      <w:r>
        <w:rPr>
          <w:rFonts w:ascii="Consolas" w:cs="Consolas" w:eastAsia="Consolas" w:hAnsi="Consolas"/>
          <w:sz w:val="20"/>
          <w:szCs w:val="20"/>
        </w:rPr>
        <w:t xml:space="preserve">clientes_rechazados</w:t>
      </w:r>
      <w:r>
        <w:t xml:space="preserve">. Se eligió pandera sobre Great Expectations por simplicidad e integración con pandas.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5.4 Carga a base de datos</w:t>
      </w:r>
    </w:p>
    <w:p>
      <w:pPr>
        <w:spacing w:after="120" w:line="360"/>
        <w:jc w:val="both"/>
      </w:pPr>
      <w:r>
        <w:t xml:space="preserve">Persiste los validados en Supabase con SQLAlchemy + psycopg2 y SSL. La carga es </w:t>
      </w:r>
      <w:r>
        <w:rPr>
          <w:b/>
          <w:bCs/>
        </w:rPr>
        <w:t xml:space="preserve">full-refresh idempotente</w:t>
      </w:r>
      <w:r>
        <w:t xml:space="preserve">: dentro de una transacción hace </w:t>
      </w:r>
      <w:r>
        <w:rPr>
          <w:rFonts w:ascii="Consolas" w:cs="Consolas" w:eastAsia="Consolas" w:hAnsi="Consolas"/>
          <w:sz w:val="20"/>
          <w:szCs w:val="20"/>
        </w:rPr>
        <w:t xml:space="preserve">TRUNCATE</w:t>
      </w:r>
      <w:r>
        <w:t xml:space="preserve"> de las tablas de estado y luego inserta, de modo que reejecutar el pipeline produzca siempre el mismo resultado (reproducibilidad DataOps), sin errores de clave duplicada. La auditoría (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) </w:t>
      </w:r>
      <w:r>
        <w:rPr>
          <w:b/>
          <w:bCs/>
        </w:rPr>
        <w:t xml:space="preserve">nunca</w:t>
      </w:r>
      <w:r>
        <w:t xml:space="preserve"> se trunca. La operación es atómica: ante fallo, ROLLBACK deja la tabla intacta. El engine se cachea (singleton con pool acotado) para no agotar el pooler de Supabase.</w:t>
      </w:r>
    </w:p>
    <w:p>
      <w:pPr>
        <w:spacing w:after="120" w:line="360"/>
        <w:jc w:val="both"/>
      </w:pPr>
      <w:r>
        <w:rPr>
          <w:b/>
          <w:bCs/>
        </w:rPr>
        <w:t xml:space="preserve">Manejo de anomalías:</w:t>
      </w:r>
      <w:r>
        <w:t xml:space="preserve"> errores de conexión → estado “ERROR” registrado en 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; violación de restricción → rollback; datos inválidos → separados y auditados, nunca descartados silenciosamente.</w:t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Plan de seguridad para entorno DataOps</w:t>
      </w:r>
    </w:p>
    <w:p>
      <w:pPr>
        <w:spacing w:after="120" w:line="360"/>
        <w:jc w:val="both"/>
      </w:pPr>
      <w:r>
        <w:t xml:space="preserve">El pipeline maneja datos personales bajo el alcance de la </w:t>
      </w:r>
      <w:r>
        <w:rPr>
          <w:b/>
          <w:bCs/>
        </w:rPr>
        <w:t xml:space="preserve">Ley 19.628</w:t>
      </w:r>
      <w:r>
        <w:t xml:space="preserve"> (Protección de la Vida Privada, Chile) y la </w:t>
      </w:r>
      <w:r>
        <w:rPr>
          <w:b/>
          <w:bCs/>
        </w:rPr>
        <w:t xml:space="preserve">Ley 21.459</w:t>
      </w:r>
      <w:r>
        <w:t xml:space="preserve"> (delitos informáticos), con controles compatibles con ISO/IEC 27001.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Medida implementada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Normas legales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Ley 19.628 (datos personales) y Ley 21.459; tratamiento limitado al propósito declarado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Cifrado en tránsito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Conexión a PostgreSQL forzada con SSL (sslmode=require)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Cifrado en reposo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Volumen gestionado por Supabase; opción pgcrypto a nivel columna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Control de acceso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Rol telco_analista solo-SELECT (mínimo privilegio); credenciales por rol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Gestión de secretos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Variables de entorno en Railway y .env gitignored; cero credenciales en el repo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Enmascaramiento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customerID anonimizado; hashing SHA-256 con sal para datos identificables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Anti-inyección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SQLAlchemy con parámetros bindados; sin concatenación de SQL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Logs sin PII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Se registran conteos y tipos de error, no valores de columnas sensibles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Auditoría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Tabla carga_logs (quién/cuándo/cuántos/estado) + clientes_rechazados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Estrategia de KPIs de monitoreo</w:t>
      </w:r>
    </w:p>
    <w:p>
      <w:pPr>
        <w:spacing w:after="120" w:line="360"/>
        <w:jc w:val="both"/>
      </w:pPr>
      <w:r>
        <w:t xml:space="preserve">Cada ejecución mide y persiste indicadores en 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, consultables vía </w:t>
      </w:r>
      <w:r>
        <w:rPr>
          <w:rFonts w:ascii="Consolas" w:cs="Consolas" w:eastAsia="Consolas" w:hAnsi="Consolas"/>
          <w:sz w:val="20"/>
          <w:szCs w:val="20"/>
        </w:rPr>
        <w:t xml:space="preserve">/kpis/resumen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/kpis/last</w:t>
      </w:r>
      <w:r>
        <w:t xml:space="preserve">. Si un KPI cruza su umbral, el logger emite </w:t>
      </w:r>
      <w:r>
        <w:rPr>
          <w:rFonts w:ascii="Consolas" w:cs="Consolas" w:eastAsia="Consolas" w:hAnsi="Consolas"/>
          <w:sz w:val="20"/>
          <w:szCs w:val="20"/>
        </w:rPr>
        <w:t xml:space="preserve">WARNING</w:t>
      </w:r>
      <w:r>
        <w:t xml:space="preserve"> (en producción, integrable a Grafana/alertas):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 de alerta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Latencia total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Segundos del pipeline completo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&gt; 30 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Latencia por etapa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Segundos por etapa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&gt; 50% del total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Tasa de validez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% de registros que pasan validación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&lt; 95%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Completitud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% de no nulos por columna crítica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&lt; 95%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Volumen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Registros procesados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&lt; 5.000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Tasa de error en carga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% inserts fallidos / estado de ejecución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≠ OK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Documentación, evidencias y modelo de datos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8.1 Recursos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Enlace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Repositorio GitHub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github.com/BenjaminHeresmann/telco-churn-pipeline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API en producción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telco-api-production-e466.up.railway.app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Swagger (demo)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telco-api-production-e466.up.railway.app/docs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Base de datos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t xml:space="preserve">PostgreSQL 17 en Supabase (proyecto telco-churn)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8.2 Evidencia de ejecución (extracto de logs)</w:t>
      </w:r>
    </w:p>
    <w:p>
      <w:pPr>
        <w:shd w:fill="F7F7F7" w:val="clear"/>
        <w:spacing w:after="120" w:line="264"/>
      </w:pPr>
      <w:r>
        <w:rPr>
          <w:rFonts w:ascii="Consolas" w:cs="Consolas" w:eastAsia="Consolas" w:hAnsi="Consolas"/>
          <w:sz w:val="17"/>
          <w:szCs w:val="17"/>
        </w:rPr>
        <w:t xml:space="preserve">ingesta    | Ingesta completada | filas=7043 | columnas=21</w:t>
      </w:r>
    </w:p>
    <w:p>
      <w:pPr>
        <w:shd w:fill="F7F7F7" w:val="clear"/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limpieza   | TotalCharges: 11 NaN imputados con 0 (tenure=0)</w:t>
      </w:r>
    </w:p>
    <w:p>
      <w:pPr>
        <w:shd w:fill="F7F7F7" w:val="clear"/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validacion | estructural: 7043 ok, 0 rechazados</w:t>
      </w:r>
    </w:p>
    <w:p>
      <w:pPr>
        <w:shd w:fill="F7F7F7" w:val="clear"/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validacion | semantica:  7043 ok, 0 rechazados</w:t>
      </w:r>
    </w:p>
    <w:p>
      <w:pPr>
        <w:shd w:fill="F7F7F7" w:val="clear"/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carga_bd   | Tablas de estado vaciadas (full-refresh)</w:t>
      </w:r>
    </w:p>
    <w:p>
      <w:pPr>
        <w:shd w:fill="F7F7F7" w:val="clear"/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carga_bd   | Insertados 7043 registros en clientes</w:t>
      </w:r>
    </w:p>
    <w:p>
      <w:pPr>
        <w:shd w:fill="F7F7F7" w:val="clear"/>
        <w:spacing w:after="0" w:line="264"/>
      </w:pPr>
      <w:r>
        <w:rPr>
          <w:rFonts w:ascii="Consolas" w:cs="Consolas" w:eastAsia="Consolas" w:hAnsi="Consolas"/>
          <w:sz w:val="17"/>
          <w:szCs w:val="17"/>
        </w:rPr>
        <w:t xml:space="preserve">orquestador| FIN PIPELINE | duracion total = ~2 seg</w:t>
      </w:r>
    </w:p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t xml:space="preserve">Con un dataset que contiene errores intencionales (</w:t>
      </w:r>
      <w:r>
        <w:rPr>
          <w:rFonts w:ascii="Consolas" w:cs="Consolas" w:eastAsia="Consolas" w:hAnsi="Consolas"/>
          <w:sz w:val="20"/>
          <w:szCs w:val="20"/>
        </w:rPr>
        <w:t xml:space="preserve">scripts/inyectar_errores.py</w:t>
      </w:r>
      <w:r>
        <w:t xml:space="preserve">), el pipeline los detecta y separa: </w:t>
      </w:r>
      <w:r>
        <w:rPr>
          <w:b/>
          <w:bCs/>
        </w:rPr>
        <w:t xml:space="preserve">5 estructurales + 3 semánticos</w:t>
      </w:r>
      <w:r>
        <w:t xml:space="preserve"> rechazados y auditados, demostrando el control de calidad. Validado además con </w:t>
      </w:r>
      <w:r>
        <w:rPr>
          <w:rFonts w:ascii="Consolas" w:cs="Consolas" w:eastAsia="Consolas" w:hAnsi="Consolas"/>
          <w:sz w:val="20"/>
          <w:szCs w:val="20"/>
        </w:rPr>
        <w:t xml:space="preserve">pytest</w:t>
      </w:r>
      <w:r>
        <w:t xml:space="preserve"> (6/6) en CI y pruebas end-to-end en producción (idempotencia confirmada: reejecutar deja siempre 7.043 registros, 0 duplicados).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8.3 Modelo de datos</w:t>
      </w:r>
    </w:p>
    <w:p>
      <w:pPr>
        <w:spacing w:after="120" w:before="120"/>
        <w:jc w:val="center"/>
      </w:pPr>
      <w:r>
        <w:drawing>
          <wp:inline distT="0" distB="0" distL="0" distR="0">
            <wp:extent cx="2971800" cy="3429000"/>
            <wp:effectExtent t="0" r="0" b="0" l="0"/>
            <wp:docPr id="1" name="Modelo entidad-relación" descr="Modelo entidad-relación" title="Modelo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both"/>
      </w:pPr>
      <w:r>
        <w:t xml:space="preserve">El modelo es de </w:t>
      </w:r>
      <w:r>
        <w:rPr>
          <w:b/>
          <w:bCs/>
        </w:rPr>
        <w:t xml:space="preserve">tabla única analítica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clientes</w:t>
      </w:r>
      <w:r>
        <w:t xml:space="preserve">): cada fila es un cliente con sus atributos planos, sin claves foráneas entre entidades. La integridad se garantiza con </w:t>
      </w:r>
      <w:r>
        <w:rPr>
          <w:b/>
          <w:bCs/>
        </w:rPr>
        <w:t xml:space="preserve">clave primaria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customer_id</w:t>
      </w:r>
      <w:r>
        <w:t xml:space="preserve">), </w:t>
      </w:r>
      <w:r>
        <w:rPr>
          <w:b/>
          <w:bCs/>
        </w:rPr>
        <w:t xml:space="preserve">restricciones CHECK</w:t>
      </w:r>
      <w:r>
        <w:t xml:space="preserve"> (rangos y dominios), </w:t>
      </w:r>
      <w:r>
        <w:rPr>
          <w:b/>
          <w:bCs/>
        </w:rPr>
        <w:t xml:space="preserve">NOT NULL</w:t>
      </w:r>
      <w:r>
        <w:t xml:space="preserve"> y </w:t>
      </w:r>
      <w:r>
        <w:rPr>
          <w:b/>
          <w:bCs/>
        </w:rPr>
        <w:t xml:space="preserve">transacciones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clientes_rechazados</w:t>
      </w:r>
      <w:r>
        <w:t xml:space="preserve"> son tablas de auditoría independiente (relación lógica por fecha, no por FK), lo que simplifica las recargas full-refresh.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Conclusiones y próximos pasos</w:t>
      </w:r>
    </w:p>
    <w:p>
      <w:pPr>
        <w:spacing w:after="120" w:line="360"/>
        <w:jc w:val="both"/>
      </w:pPr>
      <w:r>
        <w:t xml:space="preserve">La solución cumple los cuatro requisitos del pipeline DataOps —ingesta, limpieza, validación y carga— de forma </w:t>
      </w:r>
      <w:r>
        <w:rPr>
          <w:b/>
          <w:bCs/>
        </w:rPr>
        <w:t xml:space="preserve">reproducible</w:t>
      </w:r>
      <w:r>
        <w:t xml:space="preserve"> (Docker + dataset versionado), </w:t>
      </w:r>
      <w:r>
        <w:rPr>
          <w:b/>
          <w:bCs/>
        </w:rPr>
        <w:t xml:space="preserve">trazable</w:t>
      </w:r>
      <w:r>
        <w:t xml:space="preserve"> (logs y auditoría en BD), </w:t>
      </w:r>
      <w:r>
        <w:rPr>
          <w:b/>
          <w:bCs/>
        </w:rPr>
        <w:t xml:space="preserve">segura</w:t>
      </w:r>
      <w:r>
        <w:t xml:space="preserve"> (SSL, control de acceso, secretos fuera del repo) y </w:t>
      </w:r>
      <w:r>
        <w:rPr>
          <w:b/>
          <w:bCs/>
        </w:rPr>
        <w:t xml:space="preserve">escalable por módulos</w:t>
      </w:r>
      <w:r>
        <w:t xml:space="preserve"> (arquitectura cloud desacoplada). El sistema está desplegado y probado end-to-end en producción.</w:t>
      </w:r>
    </w:p>
    <w:p>
      <w:pPr>
        <w:spacing w:after="120" w:line="360"/>
        <w:jc w:val="both"/>
      </w:pPr>
      <w:r>
        <w:rPr>
          <w:b/>
          <w:bCs/>
        </w:rPr>
        <w:t xml:space="preserve">Próximos pasos:</w:t>
      </w:r>
      <w:r>
        <w:t xml:space="preserve"> (Evaluación 3) entrenar un modelo de clasificación binaria sobre </w:t>
      </w:r>
      <w:r>
        <w:rPr>
          <w:rFonts w:ascii="Consolas" w:cs="Consolas" w:eastAsia="Consolas" w:hAnsi="Consolas"/>
          <w:sz w:val="20"/>
          <w:szCs w:val="20"/>
        </w:rPr>
        <w:t xml:space="preserve">churn</w:t>
      </w:r>
      <w:r>
        <w:t xml:space="preserve"> usando las variables de mayor poder discriminante (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Contract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InternetService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PaymentMethod</w:t>
      </w:r>
      <w:r>
        <w:t xml:space="preserve">); a mediano plazo, conectar una fuente real vía la etapa de ingesta, migrar la orquestación a Airflow ante múltiples fuentes y exponer un dashboard de KPIs en Grafana o Power BI.</w:t>
      </w:r>
    </w:p>
    <w:p>
      <w:pPr>
        <w:pStyle w:val="Heading1"/>
        <w:pageBreakBefore/>
        <w:spacing w:after="8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Anexo A — Evidencias de ejecución</w:t>
      </w:r>
    </w:p>
    <w:p>
      <w:pPr>
        <w:spacing w:after="120" w:line="360"/>
        <w:jc w:val="both"/>
      </w:pPr>
      <w:r>
        <w:t xml:space="preserve">El cuerpo del informe corresponde a las secciones 1 a 9 (páginas 1–11). Este anexo es material de respaldo: capturas reales del sistema en producción, tomadas el 29 de mayo de 2026.</w:t>
      </w:r>
    </w:p>
    <w:p>
      <w:pPr>
        <w:spacing w:after="40" w:before="160"/>
      </w:pPr>
      <w:r>
        <w:rPr>
          <w:b/>
          <w:bCs/>
          <w:color w:val="2E75B6"/>
          <w:sz w:val="21"/>
          <w:szCs w:val="21"/>
        </w:rPr>
        <w:t xml:space="preserve">A.1 — API documentada (Swagger UI en producción)</w:t>
      </w:r>
    </w:p>
    <w:p>
      <w:pPr>
        <w:spacing w:after="120" w:before="120"/>
        <w:jc w:val="center"/>
      </w:pPr>
      <w:r>
        <w:drawing>
          <wp:inline distT="0" distB="0" distL="0" distR="0">
            <wp:extent cx="5619750" cy="3952875"/>
            <wp:effectExtent t="0" r="0" b="0" l="0"/>
            <wp:docPr id="1" name="A.1 — API documentada (Swagger UI en producción)" descr="A.1 — API documentada (Swagger UI en producción)" title="A.1 — API documentada (Swagger UI en producc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08080"/>
          <w:sz w:val="17"/>
          <w:szCs w:val="17"/>
        </w:rPr>
        <w:t xml:space="preserve">Endpoints REST del pipeline expuestos y autodocumentados en /docs.</w:t>
      </w:r>
    </w:p>
    <w:p>
      <w:pPr>
        <w:spacing w:after="40" w:before="160"/>
      </w:pPr>
      <w:r>
        <w:rPr>
          <w:b/>
          <w:bCs/>
          <w:color w:val="2E75B6"/>
          <w:sz w:val="21"/>
          <w:szCs w:val="21"/>
        </w:rPr>
        <w:t xml:space="preserve">A.2 — Pipeline ejecutado en vivo (POST /pipeline/run)</w:t>
      </w:r>
    </w:p>
    <w:p>
      <w:pPr>
        <w:spacing w:after="120" w:before="120"/>
        <w:jc w:val="center"/>
      </w:pPr>
      <w:r>
        <w:drawing>
          <wp:inline distT="0" distB="0" distL="0" distR="0">
            <wp:extent cx="5619750" cy="3952875"/>
            <wp:effectExtent t="0" r="0" b="0" l="0"/>
            <wp:docPr id="1" name="A.2 — Pipeline ejecutado en vivo (POST /pipeline/run)" descr="A.2 — Pipeline ejecutado en vivo (POST /pipeline/run)" title="A.2 — Pipeline ejecutado en vivo (POST /pipeline/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08080"/>
          <w:sz w:val="17"/>
          <w:szCs w:val="17"/>
        </w:rPr>
        <w:t xml:space="preserve">Respuesta 200 con las 4 etapas OK y archivos generados; URL real de Railway.</w:t>
      </w:r>
    </w:p>
    <w:p>
      <w:pPr>
        <w:spacing w:after="40" w:before="160"/>
      </w:pPr>
      <w:r>
        <w:rPr>
          <w:b/>
          <w:bCs/>
          <w:color w:val="2E75B6"/>
          <w:sz w:val="21"/>
          <w:szCs w:val="21"/>
        </w:rPr>
        <w:t xml:space="preserve">A.3 — Datos en Supabase (consulta SQL directa)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.3 — Datos en Supabase (consulta SQL directa)" descr="A.3 — Datos en Supabase (consulta SQL directa)" title="A.3 — Datos en Supabase (consulta SQL direc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08080"/>
          <w:sz w:val="17"/>
          <w:szCs w:val="17"/>
        </w:rPr>
        <w:t xml:space="preserve">7.043 clientes cargados en PostgreSQL 17; muestra real de la tabla clientes.</w:t>
      </w:r>
    </w:p>
    <w:p>
      <w:pPr>
        <w:spacing w:after="40" w:before="160"/>
      </w:pPr>
      <w:r>
        <w:rPr>
          <w:b/>
          <w:bCs/>
          <w:color w:val="2E75B6"/>
          <w:sz w:val="21"/>
          <w:szCs w:val="21"/>
        </w:rPr>
        <w:t xml:space="preserve">A.4 — Integración continua (GitHub Actions)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.4 — Integración continua (GitHub Actions)" descr="A.4 — Integración continua (GitHub Actions)" title="A.4 — Integración continua (GitHub Ac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08080"/>
          <w:sz w:val="17"/>
          <w:szCs w:val="17"/>
        </w:rPr>
        <w:t xml:space="preserve">Workflows de CI en verde para cada push al repositorio público.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Pipeline DataOps Telco Churn · ITY1101 Duoc UC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0e32f2e52291ffcbb4cb17a5ecdae259641020.png"/><Relationship Id="rId9" Type="http://schemas.openxmlformats.org/officeDocument/2006/relationships/image" Target="media/04374b3e84ae086239c5e002234d03b2f6c3f33e.png"/><Relationship Id="rId10" Type="http://schemas.openxmlformats.org/officeDocument/2006/relationships/image" Target="media/6c3e07685a80407a920bf072162688ba38428700.png"/><Relationship Id="rId11" Type="http://schemas.openxmlformats.org/officeDocument/2006/relationships/image" Target="media/b4c660eb940197584251485c2328a670195274f3.png"/><Relationship Id="rId12" Type="http://schemas.openxmlformats.org/officeDocument/2006/relationships/image" Target="media/d42d5dc9aa826a6f6e2baf150286f78b592e50f1.png"/><Relationship Id="rId13" Type="http://schemas.openxmlformats.org/officeDocument/2006/relationships/image" Target="media/6566aae29610c1ef5e0e7e98eb1b5d7fc55b52b9.png"/><Relationship Id="rId14" Type="http://schemas.openxmlformats.org/officeDocument/2006/relationships/image" Target="media/ebeb9938856107d689f880e4e4ad1ba3b424a854.png"/><Relationship Id="rId15" Type="http://schemas.openxmlformats.org/officeDocument/2006/relationships/image" Target="media/5fb77f0fa17d4409fce2d0bc65366dd6260a545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Evaluación 2 - Pipeline Telco Churn</dc:title>
  <dc:creator>Benjamín Heresmann · Diego Hernández</dc:creator>
  <cp:lastModifiedBy>Un-named</cp:lastModifiedBy>
  <cp:revision>1</cp:revision>
  <dcterms:created xsi:type="dcterms:W3CDTF">2026-05-29T20:07:20.895Z</dcterms:created>
  <dcterms:modified xsi:type="dcterms:W3CDTF">2026-05-29T20:07:20.896Z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