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7, 2026 Tuesday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1977 words</w:t>
      </w:r>
    </w:p>
    <w:p>
      <w:pPr>
        <w:pStyle w:val="Normal"/>
      </w:pPr>
      <w:r>
        <w:t xml:space="preserve">Body</w:t>
      </w:r>
    </w:p>
    <w:p>
      <w:pPr>
        <w:pStyle w:val="Normal"/>
      </w:pPr>
      <w:r>
        <w:t xml:space="preserve">General Catalyst, the Cambridge, Massachusetts-based global investment and transformation firm managing over $30 billion in assets, continued to make headlines alongside peers Andreessen Horowitz, Sequoia Capital, and Accel in a series of notable developments spanning funding rounds, strategic partnerships, and high-profile market moves.</w:t>
      </w:r>
    </w:p>
    <w:p>
      <w:pPr>
        <w:pStyle w:val="Normal"/>
      </w:pPr>
      <w:r>
        <w:t xml:space="preserve">On June 30, 2025, Janus Henderson Group completed its take-private transaction with Trian Fund Management, General Catalyst Group Management, and Qatar Investment Authority. Public shares were converted into cash at $52.00 per share and subsequently delisted from the New York Stock Exchange. The firm, which maintains operational bases in London and Denver, will continue under the leadership of Chief Executive Officer Ali Dibadj, who described the transition as a transformative new chapter focused on long-term investments in technology, talent development, and enhanced client services. General Catalyst CEO Hemant Taneja stated the firm's commitment to strengthening Janus Henderson's technological capabilities and overall growth strategy, while Trian CEO Nelson Peltz cited the significant progress Janus Henderson has achieved since Trian's initial investment in 2020. The transaction was supported by global investors including MassMutual and Sun Hung Kai &amp; Co.</w:t>
      </w:r>
    </w:p>
    <w:p>
      <w:pPr>
        <w:pStyle w:val="Normal"/>
      </w:pPr>
      <w:r>
        <w:t xml:space="preserve">On June 17, 2025, Gurugram-based artificial intelligence startup Omli raised $1.5 million in a seed funding round led by India Quotient, with participation from General Catalyst. Founded in 2025 by Shivam Munshi and Siddhant Garg, Omli develops AI infrastructure specifically designed for children's speech and language development — a segment largely underserved by existing commercial speech recognition systems, which are predominantly trained on adult voices. The company's flagship application, OmliKids, allows children aged three to ten years to engage in voice-based conversations with an AI companion named Doro. Within months of its launch, the app surpassed 500,000 downloads on the Google Play Store. To address technical gaps in children's speech recognition, Omli developed VedAnsh-v1, a proprietary speech-to-text and voice activity detection system. Co-founder Siddhant Garg noted the company's ambition to achieve adult-grade accuracy for children's speech, including support for Indian accents and vernacular languages. India Quotient's Madhukar stated that children represent the largest consumer segment for which AI solutions have yet to be meaningfully developed.</w:t>
      </w:r>
    </w:p>
    <w:p>
      <w:pPr>
        <w:pStyle w:val="Normal"/>
      </w:pPr>
      <w:r>
        <w:t xml:space="preserve">General Catalyst also led an $85 million growth funding round for Rylo, formerly known as Nagish, through its Customer Value Fund, with Canaan, Vertex Ventures, and Contour participating. The investment pushed Rylo's total funding beyond $100 million. Based in Tel Aviv and New York, Rylo provides AI-powered communication solutions for Deaf and hard-of-hearing individuals, offering real-time captioning for phone calls, speech-to-text conversion, text-to-speech capabilities, and in-person transcription services. Following its acquisition of Sign.mt in 2025, the company launched Rylo Sign, enabling real-time translation between spoken and sign languages. The platform also incorporates speaker recognition, sentiment analysis, and fraud detection. The newly raised capital will fund expansion of Rylo's engineering, product development, and commercial operations teams, as well as AI research and infrastructure development.</w:t>
      </w:r>
    </w:p>
    <w:p>
      <w:pPr>
        <w:pStyle w:val="Normal"/>
      </w:pPr>
      <w:r>
        <w:t xml:space="preserve">Turning to peer activity, Andreessen Horowitz led a $30 million Series A financing round in Prosper AI, a healthcare administration platform that automates scheduling, insurance verification, patient billing, and payer communications. The announcement came on June 30, 2025, by which point Prosper AI reported fivefold revenue growth and was managing over $1.3 billion in patient care. The platform's clients include Athenahealth and Jackson Memorial Hospital, and the company reports that healthcare providers using its platform reduce administrative costs by more than 40%. Xavier de Gracia, Co-Founder and Co-CEO of Prosper AI, indicated the new capital will support team expansion and deeper integrations with Electronic Health Record systems. Jay Rughani, Partner at Andreessen Horowitz, noted the firm was particularly drawn to Prosper AI's ambition to eliminate administrative hurdles across the entire patient journey.</w:t>
      </w:r>
    </w:p>
    <w:p>
      <w:pPr>
        <w:pStyle w:val="Normal"/>
      </w:pPr>
      <w:r>
        <w:t xml:space="preserve">On June 21, 2025, Andreessen Horowitz's crypto arm, a16z Crypto, announced a $100 million investment in Digital Asset, the company behind the Canton blockchain. The investment reflects a growing conviction within the firm that privacy technology will serve as a critical enabler for institutional blockchain adoption. Canton's token, CC, holds a market capitalization exceeding $6.3 billion, ranking it as the 15th largest cryptocurrency according to CoinMarketCap, with a current trading price of approximately $0.16 and a circulating supply of 38.8 billion tokens. Broader market trends have supported the privacy-focused thesis, with Monero surging over 100% and Zcash gaining over 700% at its peak over the past year. Ali Yahya, general partner at a16z Crypto, wrote in a recent blog post that "privacy will be the most important moat in crypto this year."</w:t>
      </w:r>
    </w:p>
    <w:p>
      <w:pPr>
        <w:pStyle w:val="Normal"/>
      </w:pPr>
      <w:r>
        <w:t xml:space="preserve">Andreessen Horowitz also backed Stitch, a Saudi financial services startup, with a $25 million investment announced on June 17, 2025. Stitch Founder and CEO Mohamed Oueida described the investment as regionally significant, stating: "It is a significant investment, and it is a big deal for us, and there's no shying away from that. It does represent tremendous validation for us, and our business model. It's not just a Stitch story, it's a regional one." The capital will be directed toward expanding Stitch's operations across the Gulf Cooperation Council, Egypt, and Southeast Asia, including the Philippines. Oueida identified fragmented legacy technology infrastructure within financial institutions as a core problem Stitch aims to solve, noting that "capital isn't the problem here; most financial institutions are huge spenders on technology. However, the ROI they are getting from these investments are not where they should be." The company has partnered with LuLu Exchange in the UAE, facilitating multiple currency card launches and further regional expansion.</w:t>
      </w:r>
    </w:p>
    <w:p>
      <w:pPr>
        <w:pStyle w:val="Normal"/>
      </w:pPr>
      <w:r>
        <w:t xml:space="preserve">Sequoia Capital partner Luciana Lixandru, the first European partner at the firm, offered a forward-looking perspective on Europe's technology trajectory during a June 23, 2025 discussion. Having worked with Deliveroo, UiPath, and Vinted, Lixandru described Europe as entering a second act of technological maturation, with founders increasingly positioned to build companies of generational scale. She pointed to Pennylane and ElevenLabs as examples of innovative ventures founded by entrepreneurs with established tech backgrounds, and cited artificial intelligence as an equalizer that allows European companies to compete globally. Lixandru acknowledged that fragmented ecosystems and regulatory complexity remain obstacles, and called for reforms in employee mobility and cross-border frameworks to enable large-scale company formation across the continent.</w:t>
      </w:r>
    </w:p>
    <w:p>
      <w:pPr>
        <w:pStyle w:val="Normal"/>
      </w:pPr>
      <w:r>
        <w:t xml:space="preserve">Sequoia Capital partner Shaun Maguire, writing on June 16, 2025, argued that SpaceX's public offering — priced at approximately $135 per share with a post-IPO valuation exceeding $2 trillion — would catalyze a migration of engineering talent from established research institutions toward hardware-focused startups in biology, energy, and climate technology. Maguire noted that a significant proportion of hardware startups he evaluates already feature SpaceX alumni among their founding teams, drawing a parallel to the "PayPal Mafia" phenomenon of the early 2000s. Sequoia's own stake in SpaceX grew from approximately $2 billion to over $20 billion following the IPO, representing a tenfold return on Maguire's personal investment of approximately $1.2 billion since 2019 through Sequoia. Maguire's portfolio of Elon Musk-related investments also includes xAI, Neuralink, The Boring Company, and X.</w:t>
      </w:r>
    </w:p>
    <w:p>
      <w:pPr>
        <w:pStyle w:val="Normal"/>
      </w:pPr>
      <w:r>
        <w:t xml:space="preserve">On May 5, 2025, Sequoia Capital led a $56 million funding round in Astrocade, a startup developing generative AI tools that allow non-technical users to create playable video games. The platform generates game logic, art assets, and mechanics from simple user descriptions, aiming to transform game creation from a niche professional activity into a mainstream consumer behavior. Sequoia's investment reflects confidence in Astrocade's potential to occupy a large market category while controlling its own distribution through a platform that integrates both game creation and gameplay. The company faces challenges in establishing content quality and user retention, and observers have drawn comparisons with Roblox, which built its ecosystem through community-driven content at scale. Astrocade must demonstrate that AI-generated games can sustain long-term player engagement rather than generate only short-lived novelty interest.</w:t>
      </w:r>
    </w:p>
    <w:p>
      <w:pPr>
        <w:pStyle w:val="Normal"/>
      </w:pPr>
      <w:r>
        <w:t xml:space="preserve">On June 30, 2025, Accel India and Fundamentum co-led a ₹120 crore (approximately $12.7 million) Series C funding round for Apna Mart, a franchise-driven omnichannel grocery and FMCG chain targeting Tier II and Tier III cities across India. Accel India and Fundamentum each committed ₹55 crore, with Peak XV Partners contributing the remaining ₹10 crore. The round follows a $25 million Series B in March 2025, and is expected to bring Apna Mart's valuation to approximately ₹1,470 crore — nearly double the ₹738 crore valuation from the prior round. Founded by Abhishek Singh and Chetan Garg, Apna Mart operates a neighborhood store model delivering groceries in approximately 10 minutes, competing directly with Blinkit, Swiggy Instamart, and Zepto. The company reported operating revenue of ₹185 crore in FY25 and claimed revenue growth of 2.5 times to ₹500 crore in FY26 without disclosing its net profit figure.</w:t>
      </w:r>
    </w:p>
    <w:p>
      <w:pPr>
        <w:pStyle w:val="Normal"/>
      </w:pPr>
      <w:r>
        <w:t xml:space="preserve">Accel India also led a Rs 130 crore Series A funding round in Oolka, a Bengaluru-based AI-powered credit management platform, completed on June 29, 2025. The round valued the company at approximately Rs 730 crore. Accel India invested Rs 87.22 crore, while existing investors Lightspeed and Z47 contributed Rs 20.87 crore and Rs 20.86 crore respectively. Meesho co-founders Vidit Aatrey and Sanjeev Barnwal also participated with investments of Rs 32.65 lakh each. Founded in 2024 by Utkrishta Kumar, Oolka helps users track, manage, and improve their credit health and had previously raised $7 million in a seed round. At that stage, the company reported nearly 2 million users and had processed over Rs 100 crore in credit repayments, with banking partnerships including Yes Bank, IDFC First Bank, and AU Small Finance Bank. The company remains pre-revenue as of FY25, reporting modest revenue of Rs 5.52 lakh against a loss of Rs 5.58 crore.</w:t>
      </w:r>
    </w:p>
    <w:p>
      <w:pPr>
        <w:pStyle w:val="Normal"/>
      </w:pPr>
      <w:r>
        <w:t xml:space="preserve">On June 29, 2025, Accel participated in an $11 million funding round for Pocket, the AI hardware device developed by Open Vision Engineering, Inc. The round also included Y Combinator and individual investors including Guillermo Rauch, Mati Staniszewski, and Kaz Nejatian. Pocket, which captures and summarizes conversations into speaker-attributed notes and actionable follow-up items, shipped over 10,000 devices on its October 2025 launch day and has since shipped more than 35,000 units in total. As of March 2025, the company reported an annualized revenue run rate of $27 million. The device is HIPAA and SOC 2 compliant, uses end-to-end encryption, and does not train AI models on customer data without explicit consent. Accel Partner Cecilia Wang stated: "Pocket is helping define a new category of AI-native devices. The team has combined exceptional product vision with impressive execution, building something people love and use every day."</w:t>
      </w:r>
    </w:p>
    <w:p>
      <w:pPr>
        <w:pStyle w:val="Normal"/>
      </w:pPr>
      <w:r>
        <w:t xml:space="preserve">PermID: 4297042748</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Jasper_automation</w:t>
      </w:r>
    </w:p>
    <w:p>
      <w:pPr>
        <w:pStyle w:val="Normal"/>
      </w:pPr>
      <w:r>
        <w:t xml:space="preserve">Publication-Type: Newswire</w:t>
      </w:r>
    </w:p>
    <w:p>
      <w:pPr>
        <w:pStyle w:val="Normal"/>
      </w:pPr>
      <w:r>
        <w:t xml:space="preserve">Subject:  EXECUTIVES (90%);  FINANCING ROUNDS (90%);  BUSINESS REPORTS &amp; FORECASTS (90%);  FINANCIAL MARKET UPDATES (90%);  FOREIGN INVESTMENT (90%);  CHILDREN  ADOLESCENTS &amp; TEENS (89%);  ARTIFICIAL INTELLIGENCE (89%);  VOICE RECOGNITION (89%);  PATTERN RECOGNITION (87%);  COMPANY STRATEGY (78%);  INVESTMENT MANAGEMENT (78%);  ENTREPRENEURSHIP (78%);  CONSUMERS (77%);  CUSTOMER RELATIONS (77%);  CHILD DEVELOPMENT (77%);  MARKET SEGMENTATION (77%);  GOING PRIVATE (76%);  DELISTINGS (76%);  ALLIANCES &amp; PARTNERSHIPS (73%);  GLOBALIZATION (73%);  CUSTOMER SERVICE (73%);  SOVEREIGN WEALTH FUNDS (73%);  STRATEGIC PARTNERSHIPS (72%);  STOCK EXCHANGES (71%);  AI GENERATED AUDIO (71%);  COMPUTER TELEPHONY (69%);  DEAFNESS (69%);  ARTIFICIAL INTELLIGENCE INFRASTRUCTURE (66%);  ACOUSTIC &amp; AUDIO SENSORS (64%);  DISABLED PERSONS (60%); ARTIFICIAL INTELLIGENCE INFRASTRUCTURE (66%); AI GENERATED AUDIO (71%); BUSINESS REPORTS &amp; FORECASTS (90%); FINANCING ROUNDS (90%); FINANCIAL MARKET UPDATES (90%); CUSTOMER SERVICE (73%); VOICE RECOGNITION (89%); CHILD DEVELOPMENT (77%); DEAFNESS (69%); CHILDREN, ADOLESCENTS &amp; TEENS (89%); CONSUMERS (77%); SOVEREIGN WEALTH FUNDS (73%); CUSTOMER RELATIONS (77%); COMPANY STRATEGY (78%); GOING PRIVATE (76%); STRATEGIC PARTNERSHIPS (72%); STOCK EXCHANGES (71%); EXECUTIVES (90%); DELISTINGS (76%); INVESTMENT MANAGEMENT (78%); GLOBALIZATION (73%); ARTIFICIAL INTELLIGENCE (89%); ALLIANCES &amp; PARTNERSHIPS (73%); FOREIGN INVESTMENT (90%); DISABLED PERSONS (60%); ENTREPRENEURSHIP (78%)</w:t>
      </w:r>
    </w:p>
    <w:p>
      <w:pPr>
        <w:pStyle w:val="Normal"/>
      </w:pPr>
      <w:r>
        <w:t xml:space="preserve">Company:  SUN HUNG KAI &amp; CO LTD (68%);  JANUS HENDERSON GROUP PLC (58%);  NEW YORK STOCK EXCHANGE LLC (57%);  GOOGLE LLC (56%); General Catalyst</w:t>
      </w:r>
    </w:p>
    <w:p>
      <w:pPr>
        <w:pStyle w:val="Normal"/>
      </w:pPr>
      <w:r>
        <w:t xml:space="preserve">Ticker: 0086 (HKSE) (68%); JHG (ASX) (58%); JHG (LSE) (58%); JHG (NYSE) (58%); GENERALCATALYST</w:t>
      </w:r>
    </w:p>
    <w:p>
      <w:pPr>
        <w:pStyle w:val="Normal"/>
      </w:pPr>
      <w:r>
        <w:t xml:space="preserve">Industry: NAICS523150 INVESTMENT BANKING AND SECURITIES INTERMEDIATION (68%); SIC6211 SECURITY BROKERS, DEALERS, &amp; FLOTATION COMPANIES (68%); NAICS523940 PORTFOLIO MANAGEMENT AND INVESTMENT ADVICE (58%); SIC6282 INVESTMENT ADVICE (58%); NAICS519290 WEB SEARCH PORTALS AND ALL OTHER INFORMATION SERVICES (56%); ARTIFICIAL INTELLIGENCE INFRASTRUCTURE (66%); AI GENERATED AUDIO (71%); FINANCIAL MARKET UPDATES (90%); PATTERN RECOGNITION (87%); VOICE RECOGNITION (89%); SOVEREIGN WEALTH FUNDS (73%); MARKET SEGMENTATION (77%); STOCK EXCHANGES (71%); DELISTINGS (76%); INVESTMENT MANAGEMENT (78%); COMPUTER TELEPHONY (69%); ARTIFICIAL INTELLIGENCE (89%); ACOUSTIC &amp; AUDIO SENSORS (64%); 523910 (%)</w:t>
      </w:r>
    </w:p>
    <w:p>
      <w:pPr>
        <w:pStyle w:val="Normal"/>
      </w:pPr>
      <w:r>
        <w:t xml:space="preserve">Person:  RONALD L NELSON (54%); RONALD L NELSON (54%)</w:t>
      </w:r>
    </w:p>
    <w:p>
      <w:pPr>
        <w:pStyle w:val="Normal"/>
      </w:pPr>
      <w:r>
        <w:t xml:space="preserve">Geographic:  LONDON, ENGLAND (57%);  TEL AVIV, ISRAEL (51%); TEL AVIV, ISRAEL (51%); LONDON, ENGLAND (57%);  MASSACHUSETTS, USA (91%); MASSACHUSETTS, USA (91%);  UNITED STATES (91%);  ISRAEL (51%); United States; United States</w:t>
      </w:r>
    </w:p>
    <w:p>
      <w:pPr>
        <w:pStyle w:val="Normal"/>
      </w:pPr>
      <w:r>
        <w:t xml:space="preserve">Load-Date: July 7,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2026-10-22T20:14:56Z</dcterms:modified>
  <cp:category/>
</cp:coreProperties>
</file>