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7, 2026 Tuesday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2850 words</w:t>
      </w:r>
    </w:p>
    <w:p>
      <w:pPr>
        <w:pStyle w:val="Normal"/>
      </w:pPr>
      <w:r>
        <w:t xml:space="preserve">Body</w:t>
      </w:r>
    </w:p>
    <w:p>
      <w:pPr>
        <w:pStyle w:val="Normal"/>
      </w:pPr>
      <w:r>
        <w:t xml:space="preserve">OpenView, the Boston-based expansion-stage venture capital firm managing approximately $2.4 billion in assets under management, has been active across its portfolio and product initiatives, while peers General Catalyst, Bessemer Venture Partners, Battery Ventures, Insight Partners, and Accel have each recorded notable developments across investment, technology, and enterprise strategy in recent weeks.</w:t>
      </w:r>
    </w:p>
    <w:p>
      <w:pPr>
        <w:pStyle w:val="Normal"/>
      </w:pPr>
      <w:r>
        <w:t xml:space="preserve">On June 9, 2026, Acucraft, a leading manufacturer of custom fireplaces and fire features, announced the launch of the Blaze Open Collection, a new line of luxury open-view gas fireplaces engineered to deliver an immersive fire experience without compromise. The collection is tailored for ambitious residential, hospitality, and commercial projects, combining unobstructed flames, exceptional flame presentation, whisper-quiet operation, and extensive customization options. Chris Maxson, Owner and CEO of Acucraft, stated, "Fire has always been about creating atmosphere and bringing people together," underscoring the company's commitment to delivering both beauty and performance in luxury environments. Featuring flames that average between 8 to 12 inches in height and capable of delivering up to 22,000 BTUs per linear foot, the Blaze Open fireplaces are available in eight standard viewing configurations, including single-sided, see-through, peninsula, panoramic, four-sided, corner, and indoor-outdoor designs. Acucraft's proprietary QuietFlow Technology ensures reliable draft performance and whisper-quiet operation, while the FireStyle Studio offers curated decorative media options including glass, stones, driftwood, logs, and LED lighting. Every unit is handcrafted in the USA using heavy-gauge steel and built to order, with over 100 pre-engineered models available alongside custom solutions.</w:t>
      </w:r>
    </w:p>
    <w:p>
      <w:pPr>
        <w:pStyle w:val="Normal"/>
      </w:pPr>
      <w:r>
        <w:t xml:space="preserve">In a related development announced on June 10, 2026, OpenView introduced its Luminous Virtual Windows, a solution described as transforming enclosed interiors into immersive environments filled with light, depth, and the sensation of open space. The product, which was awarded the 2025 Good Design Award from The Chicago Athenaeum: Museum of Architecture and Design and the European Centre for Architecture, Art, Design, and Urban Studies, employs advanced photographic techniques including focus stacking to generate a realistic sense of depth. Unlike traditional wall murals or standard panoramic photography, the system mimics the human eye's natural perception of depth by combining multiple images taken at different focus points into a single composite photograph. OpenView utilizes professional ultra-high-definition eight-channel printers to produce prints mounted onto optical-quality acrylic panels, with calibrated LED light boxes emitting a soft, natural luminescence that replicates daylight. The modular panels, reaching sizes of 5 by 8 feet, can be combined into larger window arrays and are designed to support long-term maintenance through easily replaceable LED components.</w:t>
      </w:r>
    </w:p>
    <w:p>
      <w:pPr>
        <w:pStyle w:val="Normal"/>
      </w:pPr>
      <w:r>
        <w:t xml:space="preserve">Turning to General Catalyst, the firm completed a significant take-private transaction on June 30, 2026, as Janus Henderson Group Ltd. finalized its transition to private ownership alongside Trian Fund Management and Qatar Investment Authority. Public shares were converted into cash at $52.00 per share and delisted from the New York Stock Exchange. Ali Dibadj, continuing as Chief Executive Officer, expressed enthusiasm about the new chapter, highlighting transformative opportunities in partnership with Trian and General Catalyst. Hemant Taneja, CEO of General Catalyst, remarked on the collaboration and stated the firm's commitment to enhancing Janus Henderson's technological capabilities and overall growth strategy. The transaction was supported by additional investors including MassMutual and Sun Hung Kai &amp; Co., with the firm maintaining operational bases in London and Denver.</w:t>
      </w:r>
    </w:p>
    <w:p>
      <w:pPr>
        <w:pStyle w:val="Normal"/>
      </w:pPr>
      <w:r>
        <w:t xml:space="preserve">General Catalyst also participated in a $1.5 million seed funding round for Gurugram-based Omli, announced on June 17, 2026. The round was led by India Quotient, with General Catalyst among the participating investors. Founded in 2025 by Shivam Munshi and Siddhant Garg, Omli develops AI infrastructure for children's speech and language development, addressing a gap in existing commercial speech recognition systems that are predominantly trained on adult voices. The company's flagship application, OmliKids, enables children aged three to ten years to engage in voice-based conversations with an AI companion named Doro, and has already achieved over 500,000 downloads on the Google Play Store within a few months of its launch. Omli has developed VedAnsh-v1, a proprietary speech-to-text and voice activity detection system, which has demonstrated significant improvements in word error rates compared to existing commercial systems. Co-founder Siddhant Garg emphasized the company's ambition to achieve adult-grade accuracy in children's speech recognition, including support for Indian accents and vernacular languages. India Quotient's Madhukar noted that children represent the largest consumer segment for which AI solutions are yet to be developed.</w:t>
      </w:r>
    </w:p>
    <w:p>
      <w:pPr>
        <w:pStyle w:val="Normal"/>
      </w:pPr>
      <w:r>
        <w:t xml:space="preserve">In a third General Catalyst development, Rylo, formerly known as Nagish, secured $85 million in growth funding in a round led by General Catalyst's Customer Value Fund, with participation from Canaan, Vertex Ventures, and Contour. The investment pushed the company's total funding beyond $100 million. Based in Tel Aviv and New York, Rylo develops communication solutions that improve accessibility for Deaf and hard-of-hearing individuals, offering real-time captioning for phone calls, instant speech-to-text conversion, text-to-speech capabilities, and in-person transcription services. Following its acquisition of Sign.mt in 2025, the company launched Rylo Sign, enabling real-time translation between spoken and sign languages. The platform incorporates advanced AI features including speaker recognition, sentiment analysis, and fraud detection. The newly raised capital will support expansion of Rylo's engineering, product development, and commercial operations teams, alongside investment in AI research, infrastructure development, and new workplace accessibility solutions.</w:t>
      </w:r>
    </w:p>
    <w:p>
      <w:pPr>
        <w:pStyle w:val="Normal"/>
      </w:pPr>
      <w:r>
        <w:t xml:space="preserve">Bessemer Venture Partners published a report, covering activity through June 19, 2026, outlining critical infrastructure needs for AI data centers across six key areas. The report noted that 190 gigawatts of AI data center capacity had been announced across 777 projects by early 2026, with global data center electricity consumption expected to more than double by 2030, potentially surpassing the energy use of all U.S. manufacturing combined. The firm highlighted that current timelines for connecting new data centers to the grid can extend from five to seven years, delaying over a quarter of planned projects in 2025, and that McKinsey estimates over $5 billion is spent annually on infrastructure permitting alone. Bessemer identified six areas for startup innovation including regulatory permitting, on-site power generation, renewable energy, orchestration software, physical construction, and thermal management through liquid cooling technologies.</w:t>
      </w:r>
    </w:p>
    <w:p>
      <w:pPr>
        <w:pStyle w:val="Normal"/>
      </w:pPr>
      <w:r>
        <w:t xml:space="preserve">Bessemer also spotlighted Anthropic's 80-fold increase in annualized revenue and usage during Q1 of 2026 in a report released on May 29, 2026. Anthropic, initially projecting approximately 10 times revenue growth, surpassed those expectations significantly, reaching a run-rate revenue trajectory of $47 billion as of mid-May 2026. The company secured $65 billion in a Series H funding round that closed on May 28, 2026, pushing its post-money valuation to $965 billion. The round included participation from Altimeter, Dragoneer, Greenoaks, Sequoia, and Bessemer, which has backed Anthropic since its Series D. Founded in 2021 by Dario and Daniela Amodei, Anthropic has expanded its enterprise footprint to over 300,000 business customers in five years.</w:t>
      </w:r>
    </w:p>
    <w:p>
      <w:pPr>
        <w:pStyle w:val="Normal"/>
      </w:pPr>
      <w:r>
        <w:t xml:space="preserve">On April 14, 2026, Bessemer Venture Partners led a ₹100 crore seed funding round for OffBeat Studios, the new venture of boAt co-founder Aman Gupta, valuing the company at ₹450 crore. Gupta described the venture as "Aman 2.0," indicating a strategic pivot towards artificial intelligence and evolving global technology standards. He emphasized that the partnership with Bessemer extends beyond financial backing, highlighting the importance of their global outlook and expertise in technology and AI. Bessemer partner Anant Vidur Puri noted that Gupta has shown the ability to identify emerging trends in consumer behavior in India. OffBeat Studios was officially introduced on March 3, 2026, though details regarding its specific business model, sector focus, and team structure remain undisclosed. The fundraising coincides with a transitional phase for boAt's parent company, Imagine Marketing, which has received approval from the Securities and Exchange Board of India for an IPO amidst leadership changes, including the appointment of Gaurav Nayyar as the new chief executive officer.</w:t>
      </w:r>
    </w:p>
    <w:p>
      <w:pPr>
        <w:pStyle w:val="Normal"/>
      </w:pPr>
      <w:r>
        <w:t xml:space="preserve">Battery Ventures featured prominently in several deals during the period. On June 30, 2026, Gaussion, a company developing energy intelligence technology for battery packs, raised $28 million in a round co-led by BGF and AlbionVC, with participation from Autotech Ventures, UCL Technology Fund, DN Capital, and Future Ventures, led by Steve Jurvetson. Gaussion's total capital raised since its establishment in 2022 has surpassed $44 million. The company, which originated as a spinout from University College London and the Faraday Institution, has developed proprietary technology utilizing an external magnetic field to enable rapid charging and improve battery performance and lifespan through AI-enabled control software, without requiring changes to battery chemistry or design. CEO and Co-founder Tom Hennan noted the critical role of battery technology in determining the operational efficiency of AI systems, drones, and satellites. The new funds will support commercial deployment of Gaussion's MagLiB magnetic PCB retrofit system and Aeon control chip and software platform. VC funding for energy storage companies saw a 9% year-on-year increase in Q1 2026, amounting to $1.2 billion across 26 deals, up from $1.1 billion in 18 deals in the same period the prior year.</w:t>
      </w:r>
    </w:p>
    <w:p>
      <w:pPr>
        <w:pStyle w:val="Normal"/>
      </w:pPr>
      <w:r>
        <w:t xml:space="preserve">Also backed by Battery Ventures, Baz introduced Baz Planner at AI Engineer World's Fair on June 29, 2026, alongside the completion of an extended seed funding round raising an additional $9 million, bringing total funding to $17 million. The round was co-led by Battery Ventures and boldstart ventures, with participation from AFG Partners and Disruptive VC. Baz Planner is a gateway that sits between developers and the codebase, automatically routing ideas through dynamic loops that detect, root-cause, patch, and validate vulnerabilities and bugs. Guy Eisenkot, co-founder and CEO of Baz, stated, "Our clients have pushed us to intervene at the planning stage, where vulnerabilities and bugs are the cheapest to eliminate," adding that "Baz exists because they refuse to accept that AI-generated code means blindly accepting risk." Engineering teams using Baz Planner have reported up to a 65% reduction in downstream rework. Barak Schoster, Partner at Battery Ventures, described Baz as becoming "the super harness that coordinates coding agents to ensure AI-generated code ships safely and at scale." Baz has attracted over 100 leading AI, infrastructure, and cybersecurity customers globally, with its AI Code Review product ranked number one in precision-weighted Code Review Bench.</w:t>
      </w:r>
    </w:p>
    <w:p>
      <w:pPr>
        <w:pStyle w:val="Normal"/>
      </w:pPr>
      <w:r>
        <w:t xml:space="preserve">On May 20, 2026, Blitzy announced a $200 million growth round implying a valuation of $1.4 billion, with Battery Ventures as the key investor. CEO Brian Elliott discussed the partnership with Battery Ventures General Partner Neeraj Agrawal in a LinkedIn post, emphasizing a shared commitment to advancing engineering efficiency. Blitzy's platform is aimed at empowering enterprise engineers to prioritize innovation over software maintenance.</w:t>
      </w:r>
    </w:p>
    <w:p>
      <w:pPr>
        <w:pStyle w:val="Normal"/>
      </w:pPr>
      <w:r>
        <w:t xml:space="preserve">Insight Partners hosted a virtual Onsite Hour AI Innovators series on June 23, 2026, bringing together 15 companies and 22 operators and attracting over 1,100 participants from 228 portfolio firms. The initiative aimed to share actionable strategies for embedding AI across products, go-to-market efforts, and operational processes, with an emphasis on establishing a common context layer for AI. Portfolio companies including incident.io, Tulip Interfaces, and FloQast are focusing on quantifiable benchmarks such as cost per account per day to justify AI investments. The firm also highlighted cybersecurity technologies from Trustmi, Skyflow, and Tamnoon, and reaffirmed support for Golden Analytics, which leverages AI agents to automate analytics workflows on enterprise data warehouses. A Founders Day event was held in New York in collaboration with MUFG, where 12 portfolio companies focused on security, identity, compliance, and AI operations presented to senior executives. Insight Partners also noted over 4,300 open go-to-market roles across its portfolio.</w:t>
      </w:r>
    </w:p>
    <w:p>
      <w:pPr>
        <w:pStyle w:val="Normal"/>
      </w:pPr>
      <w:r>
        <w:t xml:space="preserve">On June 9, 2026, Insight Partners shared insights from an Onsite Hour session led by Rachel Weston Rowell, featuring executives from Shipium and PDI Technologies, indicating that the bottleneck in product development has shifted from engineering capacity to strategic upstream decisions and go-to-market execution. The firm advised portfolio companies to view pricing, packaging, and go-to-market strategies as ongoing, data-informed processes, and highlighted AI as a catalyst for productivity and growth rather than workforce reduction. The firm also reported over 4,000 open positions in operations, product management, and engineering across its portfolio.</w:t>
      </w:r>
    </w:p>
    <w:p>
      <w:pPr>
        <w:pStyle w:val="Normal"/>
      </w:pPr>
      <w:r>
        <w:t xml:space="preserve">During New York Tech Week on June 9, 2026, Insight Partners Managing Director George Mathew joined Mizuho's AI Summit to discuss the shift from copilot tools to more agentic AI. The firm hosted an AI-powered go-to-market masterclass at its New York headquarters, emphasizing cross-functional integration of AI. Portfolio company Brinqa was spotlighted for utilizing AI agents to help large enterprises address cybersecurity alert overload by consolidating data from multiple tools and prioritizing exploitable issues and remediation steps.</w:t>
      </w:r>
    </w:p>
    <w:p>
      <w:pPr>
        <w:pStyle w:val="Normal"/>
      </w:pPr>
      <w:r>
        <w:t xml:space="preserve">Accel co-led a ₹120 crore Series C funding round for Apna Mart alongside Fundamentum, with additional support from Peak XV Partners, announced on June 30, 2026. Accel India and Fundamentum will each invest ₹55 crore, with Peak XV Partners contributing ₹10 crore. The company's valuation is projected to reach ₹1,470 crore, nearly double its previous valuation of ₹738 crore. Founded by Abhishek Singh and Chetan Garg, Apna Mart operates a franchise-led omnichannel quick commerce platform targeting Tier II and Tier III cities, delivering groceries in approximately 10 minutes through a neighborhood store model. The company reported operating revenue of ₹185 crore and a net loss of ₹76 crore in fiscal year ending March 2025, and claimed revenue growth of 2.5 times to ₹500 crore in FY26.</w:t>
      </w:r>
    </w:p>
    <w:p>
      <w:pPr>
        <w:pStyle w:val="Normal"/>
      </w:pPr>
      <w:r>
        <w:t xml:space="preserve">Accel India also led a Rs 130 crore Series A funding round for Bengaluru-based credit management startup Oolka, completed on June 29, 2026, valuing the company at approximately Rs 730 crore. Accel India invested Rs 87.22 crore in the round, while existing investors Lightspeed and Z47, formerly known as Matrix Partners, contributed Rs 20.87 crore and Rs 20.86 crore, respectively. Meesho co-founders Vidit Aatrey and Sanjeev Barnwal each participated with investments of Rs 32.65 lakh. Founded in 2024 by Utkrishta Kumar, Oolka is building an AI-powered credit management platform to help users track, manage, and improve their credit health. At the time of its prior seed round, Oolka had nearly 2 million users and had processed over Rs 100 crore in credit repayments, with partnerships with Yes Bank, IDFC First Bank, and AU Small Finance Bank.</w:t>
      </w:r>
    </w:p>
    <w:p>
      <w:pPr>
        <w:pStyle w:val="Normal"/>
      </w:pPr>
      <w:r>
        <w:t xml:space="preserve">Rounding out Accel's recent activity, Open Vision Engineering, Inc., the AI hardware company behind Pocket, announced a $11 million funding round from Accel, Y Combinator, and notable tech leaders including Guillermo Rauch, Mati Staniszewski, and Kaz Nejatian on June 29, 2026. Launched in October 2025, Pocket shipped over 10,000 devices on its launch day and has since grown to ship more than 35,000 devices, achieving an annualized revenue run rate of $27 million as of March 2026. The device transforms meetings, calls, and discussions into concise summaries, speaker-attributed notes, and actionable follow-up items, and is HIPAA and SOC 2 compliant with end-to-end encryption. CEO and co-founder Akshay Narisetti stated, "We started Pocket because we believe the best technology should help people be more present, not more distracted." Cecilia Wang, Partner at Accel, added, "Pocket is helping define a new category of AI-native devices. The team has combined exceptional product vision with impressive execution, building something people love and use every day."</w:t>
      </w:r>
    </w:p>
    <w:p>
      <w:pPr>
        <w:pStyle w:val="Normal"/>
      </w:pPr>
      <w:r>
        <w:t xml:space="preserve">PermID: 5001447189</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Jasper_automation</w:t>
      </w:r>
    </w:p>
    <w:p>
      <w:pPr>
        <w:pStyle w:val="Normal"/>
      </w:pPr>
      <w:r>
        <w:t xml:space="preserve">Publication-Type: Newswire</w:t>
      </w:r>
    </w:p>
    <w:p>
      <w:pPr>
        <w:pStyle w:val="Normal"/>
      </w:pPr>
      <w:r>
        <w:t xml:space="preserve">Subject:  VENTURE CAPITAL (91%);  NEW PRODUCTS (90%);  ASSET MANAGEMENT (90%);  FINANCING ROUNDS (90%);  BUSINESS REPORTS &amp; FORECASTS (90%);  FINANCIAL MARKET UPDATES (90%);  ARCHITECTURE (89%);  LIGHT EMITTING DIODES (86%);  PHOTOGRAPHY (85%);  COMPANY STRATEGY (78%);  INVESTMENT MANAGEMENT (78%);  MANUFACTURING (78%);  PAINTING (76%);  MUSEUMS &amp; GALLERIES (76%);  EXECUTIVES (73%);  SOVEREIGN WEALTH FUNDS (73%);  EXHIBITIONS (70%);  GOING PRIVATE (62%); COMPANY STRATEGY (78%); NEW PRODUCTS (90%); GOING PRIVATE (62%); ARCHITECTURE (89%); PHOTOGRAPHY (85%); BUSINESS REPORTS &amp; FORECASTS (90%); FINANCING ROUNDS (90%); FINANCIAL MARKET UPDATES (90%); EXECUTIVES (73%); INVESTMENT MANAGEMENT (78%); VENTURE CAPITAL (96%); EXHIBITIONS (70%); SOVEREIGN WEALTH FUNDS (73%); PAINTING (76%); LIGHT EMITTING DIODES (86%)</w:t>
      </w:r>
    </w:p>
    <w:p>
      <w:pPr>
        <w:pStyle w:val="Normal"/>
      </w:pPr>
      <w:r>
        <w:t xml:space="preserve">Company:  BESSEMER VENTURE PARTNERS (92%);  JANUS HENDERSON GROUP PLC (58%); OpenView</w:t>
      </w:r>
    </w:p>
    <w:p>
      <w:pPr>
        <w:pStyle w:val="Normal"/>
      </w:pPr>
      <w:r>
        <w:t xml:space="preserve">Ticker: JHG (ASX) (58%); JHG (LSE) (58%); JHG (NYSE) (58%); OPENVIEW</w:t>
      </w:r>
    </w:p>
    <w:p>
      <w:pPr>
        <w:pStyle w:val="Normal"/>
      </w:pPr>
      <w:r>
        <w:t xml:space="preserve">Industry: NAICS523910 MISCELLANEOUS INTERMEDIATION (92%); SIC6799 INVESTORS, NEC (92%); NAICS523940 PORTFOLIO MANAGEMENT AND INVESTMENT ADVICE (58%); SIC6282 INVESTMENT ADVICE (58%); MUSEUMS &amp; GALLERIES (76%); NEW PRODUCTS (90%); ARCHITECTURE (89%); ASSET MANAGEMENT (90%); PHOTOGRAPHY (85%); FINANCIAL MARKET UPDATES (90%); INVESTMENT MANAGEMENT (78%); VENTURE CAPITAL (96%); EXHIBITIONS (70%); MANUFACTURING (78%); SOVEREIGN WEALTH FUNDS (73%); PAINTING (76%); LIGHT EMITTING DIODES (86%); 523910 (%)</w:t>
      </w:r>
    </w:p>
    <w:p>
      <w:pPr>
        <w:pStyle w:val="Normal"/>
      </w:pPr>
      <w:r>
        <w:t xml:space="preserve">Geographic:  BOSTON, MA, USA (92%); BOSTON, MA, USA (99%);  MASSACHUSETTS, USA (92%); MASSACHUSETTS, USA (90%);  UNITED STATES (92%); United States; United States</w:t>
      </w:r>
    </w:p>
    <w:p>
      <w:pPr>
        <w:pStyle w:val="Normal"/>
      </w:pPr>
      <w:r>
        <w:t xml:space="preserve">Load-Date: July 7,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2026-10-22T20:15:02Z</dcterms:modified>
  <cp:category/>
</cp:coreProperties>
</file>