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7, 2026 Tuesday</w:t>
      </w:r>
    </w:p>
    <w:p>
      <w:pPr>
        <w:pStyle w:val="Normal"/>
      </w:pPr>
      <w:r>
        <w:t xml:space="preserve">Copyright 2026 Jupiter International (Australia) Pty Ltd. All Rights Reserved</w:t>
      </w:r>
    </w:p>
    <w:p>
      <w:pPr>
        <w:pStyle w:val="Normal"/>
      </w:pPr>
      <w:r>
        <w:t xml:space="preserve">Section: ANNOUNCEMENTS</w:t>
      </w:r>
    </w:p>
    <w:p>
      <w:pPr>
        <w:pStyle w:val="Normal"/>
      </w:pPr>
      <w:r>
        <w:t xml:space="preserve">Length: 2150 words</w:t>
      </w:r>
    </w:p>
    <w:p>
      <w:pPr>
        <w:pStyle w:val="Normal"/>
      </w:pPr>
      <w:r>
        <w:t xml:space="preserve">Body</w:t>
      </w:r>
    </w:p>
    <w:p>
      <w:pPr>
        <w:pStyle w:val="Normal"/>
      </w:pPr>
      <w:r>
        <w:t xml:space="preserve">General Catalyst, the Cambridge, Massachusetts-based global investment and transformation firm managing over $30 billion in assets, closed out June 2026 with a series of significant moves spanning asset management, children's AI development, and accessibility technology, while peers Andreessen Horowitz, Sequoia Capital, and Accel posted equally active deal flow across healthcare, blockchain, fintech, and gaming.</w:t>
      </w:r>
    </w:p>
    <w:p>
      <w:pPr>
        <w:pStyle w:val="Normal"/>
      </w:pPr>
      <w:r>
        <w:t xml:space="preserve">Janus Henderson Group Ltd. completed its take-private transaction on June 30, 2026, converting its public shares to cash at $52.00 per share and delisting from the New York Stock Exchange. The deal involved Trian Fund Management, General Catalyst Group Management, and Qatar Investment Authority as the core acquiring parties, with notable global investors MassMutual and Sun Hung Kai &amp; Co. participating in support. Janus Henderson's Chief Executive Officer Ali Dibadj will continue leading the firm from its operational bases in London and Denver. Dibadj described the transition as the beginning of a transformative new chapter, highlighting the long-term investment opportunities ahead in areas such as technology, talent development, and client solutions. Trian's CEO Nelson Peltz noted the firm's meaningful progress since its initial investment in 2020. General Catalyst's CEO Hemant Taneja stated the partnership would focus on enhancing Janus Henderson's technological capabilities and growth strategy, with the combined expertise of all parties expected to establish new standards within asset management.</w:t>
      </w:r>
    </w:p>
    <w:p>
      <w:pPr>
        <w:pStyle w:val="Normal"/>
      </w:pPr>
      <w:r>
        <w:t xml:space="preserve">On June 17, 2026, Gurugram-based startup Omli announced a $1.5 million seed funding round led by India Quotient, with participation from General Catalyst. Founded in 2025 by Shivam Munshi and Siddhant Garg, Omli is building AI infrastructure specifically designed for children's speech and language development — a segment largely overlooked by commercial speech recognition systems that are predominantly trained on adult voices. Its flagship application, OmliKids, allows children aged three to ten to engage in voice-based conversation with an AI companion named Doro, and had already surpassed 500,000 downloads on the Google Play Store within months of launch. The company has also developed VedAnsh-v1, a proprietary speech-to-text and voice activity detection system engineered for children's voices, showing notable improvements in word error rates over existing commercial alternatives. Co-founder Siddhant Garg stated the company's ambition is to achieve adult-grade accuracy in children's speech recognition, with support for Indian accents and vernacular languages. India Quotient's Madhukar described children as the largest consumer segment for which AI solutions have yet to be meaningfully developed. Omli, with a team of approximately 15, plans to expand into real-time conversational intelligence and develop speech-based screening tools for identifying articulation challenges early.</w:t>
      </w:r>
    </w:p>
    <w:p>
      <w:pPr>
        <w:pStyle w:val="Normal"/>
      </w:pPr>
      <w:r>
        <w:t xml:space="preserve">Rylo, formerly known as Nagish and headquartered across Tel Aviv and New York, secured $85 million in growth funding led by General Catalyst's Customer Value Fund, with Canaan, Vertex Ventures, and Contour participating. The round pushed Rylo's total funding beyond $100 million. The company develops AI-powered communication solutions for Deaf and hard-of-hearing individuals, offering real-time captioning for phone calls, speech-to-text conversion, text-to-speech capabilities, and in-person transcription. Following its acquisition of Sign.mt in 2025, Rylo launched Rylo Sign, enabling real-time translation between spoken and sign languages. The platform also incorporates speaker recognition, sentiment analysis, and fraud detection. The newly raised capital will be directed toward expanding engineering, product development, and commercial operations, as well as continued AI research and infrastructure investment. Rylo's longer-term strategy targets global expansion and wider adoption among both individual and enterprise users.</w:t>
      </w:r>
    </w:p>
    <w:p>
      <w:pPr>
        <w:pStyle w:val="Normal"/>
      </w:pPr>
      <w:r>
        <w:t xml:space="preserve">Andreessen Horowitz led a $30 million Series A round into Prosper AI, announced June 30, 2026, as the healthcare administration platform reported fivefold revenue growth and crossed $1.3 billion in patient care under management. Prosper AI automates scheduling, insurance verification, patient billing, and payer communications, with the company reporting that healthcare providers using its platform reduce administrative costs by more than 40%. Major clients include Athenahealth and Jackson Memorial Hospital. Co-Founder and Co-CEO Xavier de Gracia stated the new capital will be applied toward engineering team expansion, deeper integrations with key Electronic Health Record systems, and accelerated market adoption. Jay Rughani, Partner at Andreessen Horowitz, cited the firm's particular interest in Prosper AI's ambition to eliminate administrative hurdles across the full patient journey, from appointment requests through to reimbursement.</w:t>
      </w:r>
    </w:p>
    <w:p>
      <w:pPr>
        <w:pStyle w:val="Normal"/>
      </w:pPr>
      <w:r>
        <w:t xml:space="preserve">On June 21, 2026, a16z Crypto, the digital assets arm of Andreessen Horowitz, announced a $100 million investment in Digital Asset, the company behind the Canton blockchain. The investment was framed around the firm's conviction that privacy technology will be the decisive enabler of institutional blockchain adoption. Ali Yahya, general partner at a16z Crypto, stated in a recent blog post that privacy will be the most important competitive moat in crypto in 2026. Canton's native token, CC, carries a market capitalization exceeding $6.3 billion, ranking it 15th on CoinMarketCap, trading at approximately $0.16 with a circulating supply of 38.8 billion tokens. Broader market conditions have supported privacy-focused assets, with Monero gaining over 100% and Zcash reaching peak gains exceeding 700% over the prior year.</w:t>
      </w:r>
    </w:p>
    <w:p>
      <w:pPr>
        <w:pStyle w:val="Normal"/>
      </w:pPr>
      <w:r>
        <w:t xml:space="preserve">Stitch, a Saudi financial services startup, announced on June 17, 2026, that it had secured a $25 million investment from Andreessen Horowitz. Founder and CEO Mohamed Oueida described the round as significant not only for Stitch but for the broader Middle East technology ecosystem, calling it a validation of the company's business model and regional ambitions. The funding will support expansion across the Gulf Cooperation Council, Egypt, and Southeast Asia, including operations recently launched in the Philippines. Oueida highlighted that the core challenge for financial institutions is not capital availability but poor return on technology investment driven by legacy systems and fragmentation. Stitch's platform is designed to unify operations on a single system, with Oueida noting that AI cannot deliver its full potential without first resolving the fragmentation problem. A partnership with LuLu Exchange in the UAE has already facilitated multiple product launches and helped open new market pathways for the company.</w:t>
      </w:r>
    </w:p>
    <w:p>
      <w:pPr>
        <w:pStyle w:val="Normal"/>
      </w:pPr>
      <w:r>
        <w:t xml:space="preserve">Sequoia Capital partner Luciana Lixandru, speaking on June 23, 2026, outlined her view that Europe is entering a second era of tech maturity, one oriented toward building generational companies rather than simply proving billion-dollar valuations are achievable. Lixandru, who has worked with companies including Deliveroo, UiPath, and Vinted, pointed to the rising quality of repeat founders in Europe as a structural shift. Companies like Pennylane and ElevenLabs were cited as examples of founders with deep institutional experience now building in Europe. She described artificial intelligence as an equalizing force, allowing European entrepreneurs to compete globally. Lixandru acknowledged that fragmented ecosystems and regulatory barriers remain real constraints, but emphasized that changes in employee mobility rules and cross-border collaboration frameworks could meaningfully accelerate the region's trajectory toward its first trillion-dollar tech company.</w:t>
      </w:r>
    </w:p>
    <w:p>
      <w:pPr>
        <w:pStyle w:val="Normal"/>
      </w:pPr>
      <w:r>
        <w:t xml:space="preserve">Sequoia Capital partner Shaun Maguire, commenting on June 16, 2026, described SpaceX's public offering — priced around $135 per share and placing the company's post-IPO valuation above $2 trillion — as a catalyst for a significant shift in hardware startup formation. Maguire noted that a substantial proportion of hardware startups he encounters already count SpaceX alumni among their founding teams, drawing a comparison to the entrepreneurial wave that followed PayPal's listing in the early 2000s. He projected that sectors including biology, longevity, energy, and climate technology stand to benefit most from this talent migration. Sequoia's own stake in SpaceX grew from approximately $2 billion to over $20 billion following the IPO, representing a roughly tenfold return. Maguire has personally committed approximately $1.2 billion to SpaceX since 2019 through Sequoia, and also holds positions in Elon Musk ventures including xAI, Neuralink, The Boring Company, and X.</w:t>
      </w:r>
    </w:p>
    <w:p>
      <w:pPr>
        <w:pStyle w:val="Normal"/>
      </w:pPr>
      <w:r>
        <w:t xml:space="preserve">Astrocade, a startup focused on enabling non-technical users to build playable games through generative AI, raised $56 million in a Sequoia Capital-led funding round announced May 5, 2026. The platform generates playable game logic, art assets, and mechanics from simple text descriptions, positioning itself as a consumer-facing alternative to creation tools that have historically required technical knowledge. Sequoia's investment reflects the firm's assessment that Astrocade occupies a large, underdeveloped market category and has designed a platform that integrates both creation and gameplay — a structure that could allow it to avoid the distribution dependency problems that have constrained earlier content-creation tools. The company faces acknowledged challenges around content quality, user retention, and the absence of an existing ecosystem to bootstrap growth, with comparisons to Roblox instructive given that platform's success in cultivating a community willing to engage with varied-quality user-generated content.</w:t>
      </w:r>
    </w:p>
    <w:p>
      <w:pPr>
        <w:pStyle w:val="Normal"/>
      </w:pPr>
      <w:r>
        <w:t xml:space="preserve">Accel India co-led a ₹120 crore (approximately $12.7 million) Series C funding round for Apna Mart, announced June 30, 2026, alongside Fundamentum, with Peak XV Partners contributing ₹10 crore. The round values Apna Mart at approximately ₹1,470 crore, nearly double the ₹738 crore valuation established at its Series B in March 2025. Accel India and Fundamentum each committed ₹55 crore. Founded by Abhishek Singh and Chetan Garg, Apna Mart operates a franchise-led omnichannel quick commerce grocery platform targeting Tier II and Tier III cities in India, competing with Blinkit, Swiggy Instamart, and Zepto on approximately 10-minute delivery times. The company reported operating revenue of ₹185 crore and a net loss of ₹76 crore for the fiscal year ending March 2025, while claiming revenue growth of 2.5 times to ₹500 crore for FY26.</w:t>
      </w:r>
    </w:p>
    <w:p>
      <w:pPr>
        <w:pStyle w:val="Normal"/>
      </w:pPr>
      <w:r>
        <w:t xml:space="preserve">Bengaluru-based credit management startup Oolka raised Rs 130 crore in a Series A round led by Accel India, completing the round on June 29, 2026, at a valuation of approximately Rs 730 crore. Accel India contributed Rs 87.22 crore, with existing investors Lightspeed and Z47 each contributing approximately Rs 20.87 crore. Meesho co-founders Vidit Aatrey and Sanjeev Barnwal each invested Rs 32.65 lakh. Founded in 2024 by Utkrishta Kumar, Oolka has built an AI-powered credit management platform designed to help users track and improve their credit health, with partnerships with Yes Bank, IDFC First Bank, and AU Small Finance Bank already in place. As of its prior seed round, the company had nearly 2 million users and had processed over Rs 100 crore in credit repayments. Oolka reported a modest revenue of Rs 5.52 lakh and a loss of Rs 5.58 crore for FY25, and has yet to file FY26 results. Its nearest competitor, GoodScore, focuses on AI-based credit score improvement, while OneScore, Paisabazaar, and CRED offer overlapping credit monitoring services.</w:t>
      </w:r>
    </w:p>
    <w:p>
      <w:pPr>
        <w:pStyle w:val="Normal"/>
      </w:pPr>
      <w:r>
        <w:t xml:space="preserve">Open Vision Engineering, the company behind AI hardware device Pocket, announced on June 29, 2026, that it had raised $11 million from Accel, Y Combinator, and individual investors including Guillermo Rauch, Mati Staniszewski, and Kaz Nejatian. Pocket is a dedicated physical device that captures conversations and converts them into concise summaries, speaker-attributed notes, and actionable follow-up items. The company launched officially in October 2025, shipping over 10,000 devices on its first day, and by March 2026 had shipped more than 35,000 units with an annualized revenue run rate of $27 million. Notable enterprise clients include DoorDash. CEO and co-founder Akshay Narisetti described the product's purpose as helping people remain fully present during conversations rather than distracted by devices. The platform is HIPAA and SOC 2 compliant, uses end-to-end encryption, and does not train AI models on customer data without explicit consent. Cecilia Wang, Partner at Accel, described Pocket as helping define a new category of AI-native hardware, citing the team's product vision and execution quality as key factors driving Accel's support.</w:t>
      </w:r>
    </w:p>
    <w:p>
      <w:pPr>
        <w:pStyle w:val="Normal"/>
      </w:pPr>
      <w:r>
        <w:t xml:space="preserve">PermID: 4297042748</w:t>
      </w:r>
    </w:p>
    <w:p>
      <w:pPr>
        <w:pStyle w:val="Normal"/>
      </w:pPr>
      <w:r>
        <w:t xml:space="preserve">Created by  for News Bites Finance</w:t>
      </w:r>
    </w:p>
    <w:p>
      <w:pPr>
        <w:pStyle w:val="Normal"/>
      </w:pPr>
      <w:r>
        <w:t xml:space="preserve">Classification</w:t>
      </w:r>
    </w:p>
    <w:p>
      <w:pPr>
        <w:pStyle w:val="Normal"/>
      </w:pPr>
      <w:r>
        <w:t xml:space="preserve">Language: English</w:t>
      </w:r>
    </w:p>
    <w:p>
      <w:pPr>
        <w:pStyle w:val="Normal"/>
      </w:pPr>
      <w:r>
        <w:t xml:space="preserve">Document-Type: Jasper_automation</w:t>
      </w:r>
    </w:p>
    <w:p>
      <w:pPr>
        <w:pStyle w:val="Normal"/>
      </w:pPr>
      <w:r>
        <w:t xml:space="preserve">Publication-Type: Newswire</w:t>
      </w:r>
    </w:p>
    <w:p>
      <w:pPr>
        <w:pStyle w:val="Normal"/>
      </w:pPr>
      <w:r>
        <w:t xml:space="preserve">Subject:  FINANCIAL TECHNOLOGY (90%);  ASSET MANAGEMENT (90%);  EXECUTIVES (90%);  NEWS BRIEFS (90%);  BUSINESS REPORTS &amp; FORECASTS (90%);  DIGITAL ASSET MANAGEMENT (90%);  FINANCIAL MARKET UPDATES (90%);  FOREIGN INVESTMENT (90%);  CHILDREN  ADOLESCENTS &amp; TEENS (89%);  ARTIFICIAL INTELLIGENCE (89%);  TECHNOLOGY (89%);  PATTERN RECOGNITION (89%);  VOICE RECOGNITION (89%);  COMPANY STRATEGY (78%);  INVESTMENT MANAGEMENT (78%);  FINANCING ROUNDS (78%);  PROSTHETIC &amp; ASSISTIVE DEVICES (77%);  BLOCKCHAIN (77%);  CUSTOMER RELATIONS (77%);  CHILD DEVELOPMENT (77%);  GOING PRIVATE (76%);  DELISTINGS (76%);  STOCK EXCHANGES (76%);  GLOBALIZATION (73%);  SOVEREIGN WEALTH FUNDS (73%);  ARTIFICIAL INTELLIGENCE INFRASTRUCTURE (72%);  MARKET SEGMENTATION (68%);  ACOUSTIC &amp; AUDIO SENSORS (63%);  CONSUMERS (60%); ARTIFICIAL INTELLIGENCE INFRASTRUCTURE (72%); TECHNOLOGY (89%); BUSINESS REPORTS &amp; FORECASTS (90%); FINANCING ROUNDS (78%); FINANCIAL MARKET UPDATES (90%); VOICE RECOGNITION (89%); PROSTHETIC &amp; ASSISTIVE DEVICES (77%); CHILD DEVELOPMENT (77%); NEWS BRIEFS (90%); CHILDREN, ADOLESCENTS &amp; TEENS (89%); CONSUMERS (60%); SOVEREIGN WEALTH FUNDS (73%); FINANCIAL TECHNOLOGY (90%); CUSTOMER RELATIONS (77%); COMPANY STRATEGY (78%); GOING PRIVATE (76%); STOCK EXCHANGES (76%); EXECUTIVES (90%); DELISTINGS (76%); INVESTMENT MANAGEMENT (78%); GLOBALIZATION (73%); ARTIFICIAL INTELLIGENCE (89%); BLOCKCHAIN (77%); FOREIGN INVESTMENT (90%)</w:t>
      </w:r>
    </w:p>
    <w:p>
      <w:pPr>
        <w:pStyle w:val="Normal"/>
      </w:pPr>
      <w:r>
        <w:t xml:space="preserve">Company:  JANUS HENDERSON GROUP PLC (74%);  SUN HUNG KAI &amp; CO LTD (70%);  GOOGLE LLC (58%);  SEQUOIA CAPITAL (58%);  NEW YORK STOCK EXCHANGE LLC (57%); General Catalyst</w:t>
      </w:r>
    </w:p>
    <w:p>
      <w:pPr>
        <w:pStyle w:val="Normal"/>
      </w:pPr>
      <w:r>
        <w:t xml:space="preserve">Ticker: JHG (ASX) (74%); JHG (LSE) (74%); JHG (NYSE) (74%); 0086 (HKSE) (70%); GENERALCATALYST</w:t>
      </w:r>
    </w:p>
    <w:p>
      <w:pPr>
        <w:pStyle w:val="Normal"/>
      </w:pPr>
      <w:r>
        <w:t xml:space="preserve">Industry: NAICS523940 PORTFOLIO MANAGEMENT AND INVESTMENT ADVICE (74%); SIC6282 INVESTMENT ADVICE (74%); NAICS523150 INVESTMENT BANKING AND SECURITIES INTERMEDIATION (70%); SIC6211 SECURITY BROKERS, DEALERS, &amp; FLOTATION COMPANIES (70%); NAICS519290 WEB SEARCH PORTALS AND ALL OTHER INFORMATION SERVICES (58%); SIC6799 INVESTORS, NEC (58%); ARTIFICIAL INTELLIGENCE INFRASTRUCTURE (72%); FINANCIAL MARKET UPDATES (90%); PATTERN RECOGNITION (89%); VOICE RECOGNITION (89%); PROSTHETIC &amp; ASSISTIVE DEVICES (77%); SOVEREIGN WEALTH FUNDS (73%); FINANCIAL TECHNOLOGY (90%); DIGITAL ASSET MANAGEMENT (90%); MARKET SEGMENTATION (68%); ASSET MANAGEMENT (90%); STOCK EXCHANGES (76%); DELISTINGS (76%); INVESTMENT MANAGEMENT (78%); ARTIFICIAL INTELLIGENCE (89%); ACOUSTIC &amp; AUDIO SENSORS (63%); BLOCKCHAIN (77%); 523910 (%)</w:t>
      </w:r>
    </w:p>
    <w:p>
      <w:pPr>
        <w:pStyle w:val="Normal"/>
      </w:pPr>
      <w:r>
        <w:t xml:space="preserve">Person:  RONALD L NELSON (53%); RONALD L NELSON (53%)</w:t>
      </w:r>
    </w:p>
    <w:p>
      <w:pPr>
        <w:pStyle w:val="Normal"/>
      </w:pPr>
      <w:r>
        <w:t xml:space="preserve">Geographic:  LONDON, ENGLAND (56%); LONDON, ENGLAND (56%);  MASSACHUSETTS, USA (92%); MASSACHUSETTS, USA (92%);  UNITED STATES (92%); United States; United States</w:t>
      </w:r>
    </w:p>
    <w:p>
      <w:pPr>
        <w:pStyle w:val="Normal"/>
      </w:pPr>
      <w:r>
        <w:t xml:space="preserve">Load-Date: July 7,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2026-10-22T20:14:57Z</dcterms:modified>
  <cp:category/>
</cp:coreProperties>
</file>