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7, 2026 Tuesday</w:t>
      </w:r>
    </w:p>
    <w:p>
      <w:pPr>
        <w:pStyle w:val="Normal"/>
      </w:pPr>
      <w:r>
        <w:t xml:space="preserve">Copyright 2026 Jupiter International (Australia) Pty Ltd. All Rights Reserved</w:t>
      </w:r>
    </w:p>
    <w:p>
      <w:pPr>
        <w:pStyle w:val="Normal"/>
      </w:pPr>
      <w:r>
        <w:t xml:space="preserve">Section: ANNOUNCEMENTS</w:t>
      </w:r>
    </w:p>
    <w:p>
      <w:pPr>
        <w:pStyle w:val="Normal"/>
      </w:pPr>
      <w:r>
        <w:t xml:space="preserve">Length: 1530 words</w:t>
      </w:r>
    </w:p>
    <w:p>
      <w:pPr>
        <w:pStyle w:val="Normal"/>
      </w:pPr>
      <w:r>
        <w:t xml:space="preserve">Body</w:t>
      </w:r>
    </w:p>
    <w:p>
      <w:pPr>
        <w:pStyle w:val="Normal"/>
      </w:pPr>
      <w:r>
        <w:t xml:space="preserve">M13 General Partner Latif Peracha announced on April 15, 2026, the firm's decision to co-lead OpenFX's Series A funding round, citing strategic alignment and the platform's growth potential within the digital asset space. Peracha expressed confidence in OpenFX's approach to transforming the foreign exchange market, where demand for efficient and transparent trading solutions has been rising steadily. M13's involvement is driven by a shared vision of enhancing the trading experience for both retail and institutional investors, with the funding aimed at bolstering OpenFX's technological infrastructure and expanding its market reach. According to Peracha, OpenFX is well-positioned to address persistent pain points faced by traders, including high fees and slow transaction times, by leveraging cutting-edge technology to deliver a seamless trading experience. M13's strategic guidance is expected to play a central role in executing OpenFX's product roadmap, driving user acquisition and retention as the digital currency ecosystem continues to mature. The partnership reflects M13's broader commitment to investing in disruptive technologies that reshape traditional financial markets, consistent with the firm's early-stage focus on seed and Series A investments in high-potential software companies.</w:t>
      </w:r>
    </w:p>
    <w:p>
      <w:pPr>
        <w:pStyle w:val="Normal"/>
      </w:pPr>
      <w:r>
        <w:t xml:space="preserve">Janus Henderson Group completed its take-private transaction with Trian Fund Management, General Catalyst Group Management, and Qatar Investment Authority on June 30, 2026, marking a significant structural shift for the asset management firm. Public shareholders received $52.00 per share in cash, and Janus Henderson's shares were subsequently delisted from the New York Stock Exchange. The company will continue to operate under its existing management structure, with Ali Dibadj remaining as Chief Executive Officer and the firm maintaining operational headquarters in both London and Denver. Dibadj described the transition as a new chapter, highlighting transformative opportunities available through the partnership with Trian and General Catalyst. Trian's CEO Nelson Peltz noted the firm's progress since Trian's initial investment in 2020, while General Catalyst CEO Hemant Taneja stated the partnership would focus on enhancing Janus Henderson's technological capabilities and overall growth strategy. The transaction was supported by a broad investor group including MassMutual and Sun Hung Kai &amp; Co., with legal and financial advisement provided by leading industry firms. The privatization is expected to enable Janus Henderson to pursue long-term investments in areas including technology, investment solutions, and talent development, with the goal of setting new standards within the asset management industry.</w:t>
      </w:r>
    </w:p>
    <w:p>
      <w:pPr>
        <w:pStyle w:val="Normal"/>
      </w:pPr>
      <w:r>
        <w:t xml:space="preserve">General Catalyst also participated in a $1.5 million seed funding round for Gurugram-based startup Omli, announced on June 17, 2026, alongside lead investor India Quotient. Founded in 2025 by Shivam Munshi and Siddhant Garg, Omli is developing AI infrastructure specifically tailored for children's speech and language development, addressing a notable gap in the market where most commercial speech recognition systems are trained predominantly on adult voices. The company's flagship application, OmliKids, enables children aged three to ten to engage in voice-based conversations with an AI companion named Doro, focusing on enhancing speaking skills and logical thinking rather than relying on games or video content. The app recorded over 500,000 downloads on the Google Play Store within months of launch. To address limitations of conventional speech models, Omli developed VedAnsh-v1, a proprietary speech-to-text and voice activity detection system optimized for children's voices, demonstrating significant improvements in word error rates compared to existing commercial systems. Co-founder Siddhant Garg outlined ambitions to achieve adult-grade accuracy in children's speech recognition, including support for Indian accents and vernacular languages. The startup, which currently employs around 15 people, plans to develop conversational intelligence systems that adapt in real time to a child's speaking pace. India Quotient's Madhukar characterized children as the largest consumer segment for which AI solutions remain underdeveloped, highlighting the investment rationale for the round.</w:t>
      </w:r>
    </w:p>
    <w:p>
      <w:pPr>
        <w:pStyle w:val="Normal"/>
      </w:pPr>
      <w:r>
        <w:t xml:space="preserve">In a separate development, General Catalyst's Customer Value Fund led an $85 million growth round for Rylo, formerly known as Nagish, with participation from Canaan, Vertex Ventures, and Contour. The investment pushes Rylo's total funding beyond $100 million and reflects growing investor confidence in AI-driven accessibility technologies. Headquartered in Tel Aviv and New York, Rylo develops communication solutions for Deaf and hard-of-hearing individuals, offering an AI-powered platform that provides real-time captioning for phone calls, instant speech-to-text conversion, text-to-speech capabilities, and in-person transcription services. Following its acquisition of Sign.mt in 2025, the company launched Rylo Sign, enabling real-time translation between spoken and sign languages, and has further incorporated features including speaker recognition, sentiment analysis, and fraud detection. The newly raised capital will support expansion of Rylo's engineering, product development, and commercial operations teams, alongside investment in AI research, infrastructure development, and new workplace accessibility solutions. The company is pursuing a long-term strategy centered on global expansion and broader adoption among both individual and enterprise users as accessibility regulations continue to evolve worldwide.</w:t>
      </w:r>
    </w:p>
    <w:p>
      <w:pPr>
        <w:pStyle w:val="Normal"/>
      </w:pPr>
      <w:r>
        <w:t xml:space="preserve">Lightspeed Opportunity Fund, L.P., an entity associated with Lightspeed Venture Partners, reported the sale of approximately $15.1 million in Netskope Inc. (NASDAQ: NTSK) Class A common stock across transactions on June 12 and June 15, 2026. On June 12, the fund converted 1,650,000 shares of Class B common stock into Class A shares for no additional consideration, subsequently selling 1,313,827 Class A shares at a weighted average price of $9.19 per share. On June 15, the fund sold an additional 336,173 Class A shares at a weighted average price of $9.00 per share, bringing the total proceeds to $15,099,627. Following these transactions, Lightspeed Opportunity Fund holds no Class A common stock in Netskope, though several other Lightspeed entities continue to hold significant Class B shares, collectively totaling 62,843,207 shares as of June 12, 2026, convertible to Class A on a one-for-one basis. At the time of the transactions, Netskope shares were trading at $8.95, down roughly 60% over the prior year and near the stock's 52-week low of $7.67. Netskope separately reported annual recurring revenue of $845 million, reflecting 29% year-over-year growth, while total revenue reached approximately $202 million, representing 28% year-over-year growth. Analyst reactions were mixed, with TD Cowen reducing its price target from $25 to $19, BMO Capital and RBC Capital both lowering targets to $13, Piper Sandler cutting to $18, and Mizuho reducing its target to $13, with several firms citing ARR performance and the exit of the company's CFO as contributing factors.</w:t>
      </w:r>
    </w:p>
    <w:p>
      <w:pPr>
        <w:pStyle w:val="Normal"/>
      </w:pPr>
      <w:r>
        <w:t xml:space="preserve">Lightspeed Venture Partners also moved to strengthen its marketing leadership with the appointment of Rohit Kaul as its new marketing head, as the firm prepares to raise its fifth India and Southeast Asia-focused fund targeting approximately $500 million. Kaul previously served as Vice President of Marketing at Blume Ventures from February 2023, with additional experience at Sacra and HCL. The hire follows the departure of former VP of Marketing and Communications Mansi Chugh, who left after nearly four years in the role, and comes amid broader senior-level changes within the firm's communications and marketing functions. Lightspeed has established a prominent position in India's startup ecosystem through investments in companies including OYO, Udaan, ShareChat, PhysicsWallah, and Pocket FM. The appointment of Kaul is aimed at reinforcing the firm's brand presence and outreach as it navigates a period of slower startup funding activity and performance pressures across its portfolio in the Indian and Southeast Asian markets.</w:t>
      </w:r>
    </w:p>
    <w:p>
      <w:pPr>
        <w:pStyle w:val="Normal"/>
      </w:pPr>
      <w:r>
        <w:t xml:space="preserve">Separately, Lightspeed Venture Partners participated in consecutive funding rounds for an agent evaluation startup, with the investment publicly acknowledged on May 13, 2026. The startup has developed a platform designed to streamline and enhance agent performance assessments, attracting interest from investors seeking opportunities at the intersection of technology and operational efficiency. Lightspeed's back-to-back participation reflects the firm's strategy of identifying and supporting companies with strong growth potential within niche technology markets. The funding is intended to support product expansion, technology development, and marketing initiatives aimed at building brand awareness and establishing a competitive presence as demand for agent evaluation tools continues to grow across industries.</w:t>
      </w:r>
    </w:p>
    <w:p>
      <w:pPr>
        <w:pStyle w:val="Normal"/>
      </w:pPr>
      <w:r>
        <w:t xml:space="preserve">PermID: 5060022710</w:t>
      </w:r>
    </w:p>
    <w:p>
      <w:pPr>
        <w:pStyle w:val="Normal"/>
      </w:pPr>
      <w:r>
        <w:t xml:space="preserve">Created by  for News Bites Finance</w:t>
      </w:r>
    </w:p>
    <w:p>
      <w:pPr>
        <w:pStyle w:val="Normal"/>
      </w:pPr>
      <w:r>
        <w:t xml:space="preserve">Classification</w:t>
      </w:r>
    </w:p>
    <w:p>
      <w:pPr>
        <w:pStyle w:val="Normal"/>
      </w:pPr>
      <w:r>
        <w:t xml:space="preserve">Language: English</w:t>
      </w:r>
    </w:p>
    <w:p>
      <w:pPr>
        <w:pStyle w:val="Normal"/>
      </w:pPr>
      <w:r>
        <w:t xml:space="preserve">Document-Type: Jasper_automation</w:t>
      </w:r>
    </w:p>
    <w:p>
      <w:pPr>
        <w:pStyle w:val="Normal"/>
      </w:pPr>
      <w:r>
        <w:t xml:space="preserve">Publication-Type: Newswire</w:t>
      </w:r>
    </w:p>
    <w:p>
      <w:pPr>
        <w:pStyle w:val="Normal"/>
      </w:pPr>
      <w:r>
        <w:t xml:space="preserve">Subject:  TECHNOLOGY (90%);  INVESTMENT MANAGEMENT (90%);  FINANCING ROUNDS (90%);  NEWS BRIEFS (90%);  BUSINESS REPORTS &amp; FORECASTS (90%);  EQUITY FINANCING (90%);  FINANCIAL MARKET UPDATES (90%);  GENERAL PARTNERSHIPS (90%);  ASSET MANAGEMENT (89%);  DIGITAL ASSET MANAGEMENT (89%);  EXECUTIVES (86%);  COMPANY STRATEGY (78%);  FINANCIAL MARKETS &amp; INVESTING (78%);  DIGITAL CURRENCY (77%);  PRIVATIZATION (77%);  DIGITAL ASSETS (77%);  SOFTWARE SERVICES &amp; APPLICATIONS (77%);  CHILD DEVELOPMENT (77%);  DELISTINGS (76%);  SOVEREIGN WEALTH FUNDS (76%);  RETAIL &amp; WHOLESALE TRADE (76%);  FOREIGN EXCHANGE MARKETS (76%);  STOCK EXCHANGES (76%);  EMERGING TECHNOLOGY (75%);  DISRUPTIVE INNOVATION (75%);  GOING PRIVATE (74%);  CHILDREN  ADOLESCENTS &amp; TEENS (73%);  VOICE RECOGNITION (73%);  BANKING &amp; FINANCE (71%);  ARTIFICIAL INTELLIGENCE INFRASTRUCTURE (70%);  SHAREHOLDERS (67%);  SOFTWARE MAKERS (65%);  PATTERN RECOGNITION (61%);  COMPUTER SOFTWARE (51%); DISRUPTIVE INNOVATION (75%); COMPANY STRATEGY (78%); GOING PRIVATE (74%); ARTIFICIAL INTELLIGENCE INFRASTRUCTURE (70%); STOCK EXCHANGES (76%); DIGITAL CURRENCY (77%); PRIVATIZATION (77%); TECHNOLOGY (90%); BUSINESS REPORTS &amp; FORECASTS (90%); FINANCING ROUNDS (90%); EQUITY FINANCING (90%); FINANCIAL MARKET UPDATES (90%); EXECUTIVES (86%); DELISTINGS (76%); EMERGING TECHNOLOGY (75%); VOICE RECOGNITION (73%); INVESTMENT MANAGEMENT (90%); CHILD DEVELOPMENT (77%); NEWS BRIEFS (90%); FOREIGN EXCHANGE MARKETS (76%); FINANCIAL MARKETS &amp; INVESTING (78%); SHAREHOLDERS (67%); SOVEREIGN WEALTH FUNDS (76%); GENERAL PARTNERSHIPS (90%)</w:t>
      </w:r>
    </w:p>
    <w:p>
      <w:pPr>
        <w:pStyle w:val="Normal"/>
      </w:pPr>
      <w:r>
        <w:t xml:space="preserve">Company:  JANUS HENDERSON GROUP PLC (68%);  SUN HUNG KAI &amp; CO LTD (63%);  NEW YORK STOCK EXCHANGE LLC (54%); M13</w:t>
      </w:r>
    </w:p>
    <w:p>
      <w:pPr>
        <w:pStyle w:val="Normal"/>
      </w:pPr>
      <w:r>
        <w:t xml:space="preserve">Ticker: JHG (ASX) (68%); JHG (LSE) (68%); JHG (NYSE) (68%); 0086 (HKSE) (63%); M13</w:t>
      </w:r>
    </w:p>
    <w:p>
      <w:pPr>
        <w:pStyle w:val="Normal"/>
      </w:pPr>
      <w:r>
        <w:t xml:space="preserve">Industry: NAICS523940 PORTFOLIO MANAGEMENT AND INVESTMENT ADVICE (68%); SIC6282 INVESTMENT ADVICE (68%); NAICS523150 INVESTMENT BANKING AND SECURITIES INTERMEDIATION (63%); SIC6211 SECURITY BROKERS, DEALERS, &amp; FLOTATION COMPANIES (63%); ASSET MANAGEMENT (89%); ARTIFICIAL INTELLIGENCE INFRASTRUCTURE (70%); STOCK EXCHANGES (76%); DIGITAL CURRENCY (77%); COMPUTER SOFTWARE (51%); DIGITAL ASSETS (77%); SOFTWARE MAKERS (65%); EQUITY FINANCING (90%); FINANCIAL MARKET UPDATES (90%); BANKING &amp; FINANCE (71%); PATTERN RECOGNITION (61%); DELISTINGS (76%); VOICE RECOGNITION (73%); INVESTMENT MANAGEMENT (90%); SOFTWARE SERVICES &amp; APPLICATIONS (77%); FOREIGN EXCHANGE MARKETS (76%); FINANCIAL MARKETS &amp; INVESTING (78%); SOVEREIGN WEALTH FUNDS (76%); DIGITAL ASSET MANAGEMENT (89%); RETAIL &amp; WHOLESALE TRADE (76%); 523910 (%)</w:t>
      </w:r>
    </w:p>
    <w:p>
      <w:pPr>
        <w:pStyle w:val="Normal"/>
      </w:pPr>
      <w:r>
        <w:t xml:space="preserve">Person:  RONALD L NELSON (50%); RONALD L NELSON (50%)</w:t>
      </w:r>
    </w:p>
    <w:p>
      <w:pPr>
        <w:pStyle w:val="Normal"/>
      </w:pPr>
      <w:r>
        <w:t xml:space="preserve">Geographic: United States; United States</w:t>
      </w:r>
    </w:p>
    <w:p>
      <w:pPr>
        <w:pStyle w:val="Normal"/>
      </w:pPr>
      <w:r>
        <w:t xml:space="preserve">Load-Date: July 8,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2026-10-22T20:15:08Z</dcterms:modified>
  <cp:category/>
</cp:coreProperties>
</file>