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8, 2026 Wednesday</w:t>
      </w:r>
    </w:p>
    <w:p>
      <w:pPr>
        <w:pStyle w:val="Normal"/>
      </w:pPr>
      <w:r>
        <w:t xml:space="preserve">Copyright 2026 Jupiter International (Australia) Pty Ltd. All Rights Reserved</w:t>
      </w:r>
    </w:p>
    <w:p>
      <w:pPr>
        <w:pStyle w:val="Normal"/>
      </w:pPr>
      <w:r>
        <w:t xml:space="preserve">Section: ANNOUNCEMENTS</w:t>
      </w:r>
    </w:p>
    <w:p>
      <w:pPr>
        <w:pStyle w:val="Normal"/>
      </w:pPr>
      <w:r>
        <w:t xml:space="preserve">Length: 2292 words</w:t>
      </w:r>
    </w:p>
    <w:p>
      <w:pPr>
        <w:pStyle w:val="Normal"/>
      </w:pPr>
      <w:r>
        <w:t xml:space="preserve">Body</w:t>
      </w:r>
    </w:p>
    <w:p>
      <w:pPr>
        <w:pStyle w:val="Normal"/>
      </w:pPr>
      <w:r>
        <w:t xml:space="preserve">General Catalyst, the Cambridge, Massachusetts-based venture capital and transformation firm founded in 2000, continues to make headlines across multiple investment fronts. Managing over $30 billion in assets and operating across sectors ranging from healthcare and financial technology to defense, climate, and applied artificial intelligence, the firm has cemented its position as a pivotal force in scaling high-impact ventures globally. Its portfolio includes transformative companies such as Airbnb and Stripe, and its landmark $8 billion capital commitment to accelerate AI-centric startups underscores the firm's aggressive posture in the rapidly evolving technology landscape.</w:t>
      </w:r>
    </w:p>
    <w:p>
      <w:pPr>
        <w:pStyle w:val="Normal"/>
      </w:pPr>
      <w:r>
        <w:t xml:space="preserve">On June 30, 2026, Janus Henderson Group Ltd. announced the successful completion of its take-private transaction involving Trian Fund Management, General Catalyst Group Management, and Qatar Investment Authority. Under the terms of the deal, Janus Henderson's public shares were converted into cash at $52.00 per share, and the company was subsequently delisted from the New York Stock Exchange. The transition to private ownership is intended to support long-term investments across investment solutions, technology, and talent development. Janus Henderson will continue to operate under the leadership of Chief Executive Officer Ali Dibadj, maintaining operational bases in both London and Denver. Dibadj commented on the development, stating the firm remains dedicated to delivering exceptional services and insights to clients while pursuing transformative opportunities in partnership with Trian and General Catalyst. Trian's CEO Nelson Peltz noted the impressive progress Janus Henderson has made since Trian's initial investment in 2020. General Catalyst's CEO Hemant Taneja stated the firm's commitment to enhancing Janus Henderson's technological capabilities and overall growth strategy, with the strategic partnership expected to unlock new standards within the asset management industry. The transaction drew support from a broad investor group that included MassMutual and Sun Hung Kai &amp; Co.</w:t>
      </w:r>
    </w:p>
    <w:p>
      <w:pPr>
        <w:pStyle w:val="Normal"/>
      </w:pPr>
      <w:r>
        <w:t xml:space="preserve">Separately, on June 17, 2026, Gurugram-based startup Omli announced the successful close of a $1.5 million seed funding round led by India Quotient, with participation from General Catalyst. Founded in 2025 by Shivam Munshi and Siddhant Garg, Omli is developing AI infrastructure tailored specifically for children's speech and language development — a segment largely underserved by existing commercial speech recognition systems, which are predominantly trained on adult voices. The company's flagship application, OmliKids, allows children aged three to ten to engage in voice-based conversations with an AI companion named Doro, and has already surpassed 500,000 downloads on the Google Play Store within months of launch. To address the limitations of conventional speech models, Omli has developed VedAnsh-v1, a proprietary speech-to-text and voice activity detection system designed specifically for children's voices and demonstrating meaningful improvements in word error rates compared to existing commercial alternatives. Co-founder Siddhant Garg emphasized ambitions to achieve adult-grade accuracy in children's speech recognition, including support for Indian accents and vernacular languages. Investor India Quotient's Madhukar characterized the opportunity by noting that children represent the largest consumer segment for which AI solutions are yet to be developed.</w:t>
      </w:r>
    </w:p>
    <w:p>
      <w:pPr>
        <w:pStyle w:val="Normal"/>
      </w:pPr>
      <w:r>
        <w:t xml:space="preserve">General Catalyst also led an $85 million growth round for Rylo, formerly known as Nagish, through its Customer Value Fund, with co-investment from Canaan, Vertex Ventures, and Contour. The funding pushes Rylo's total capital raised beyond $100 million. Headquartered across Tel Aviv and New York, Rylo develops AI-powered communication tools to improve accessibility for Deaf and hard-of-hearing individuals, offering real-time captioning for phone calls, instant speech-to-text conversion, text-to-speech capabilities, and in-person transcription services. Following its acquisition of Sign.mt in 2025, the company launched Rylo Sign, enabling real-time translation between spoken and sign languages. The platform incorporates additional AI capabilities including speaker recognition, sentiment analysis, and fraud detection. The newly raised capital is earmarked for expanding engineering, product development, and commercial operations teams, alongside investment in AI research, infrastructure development, and new workplace accessibility solutions.</w:t>
      </w:r>
    </w:p>
    <w:p>
      <w:pPr>
        <w:pStyle w:val="Normal"/>
      </w:pPr>
      <w:r>
        <w:t xml:space="preserve">Among General Catalyst's most closely watched peers, Andreessen Horowitz has sustained a robust pace of investment activity across enterprise fintech, large-scale startup funding, and healthcare technology. The firm led a $20 million seed round for Pillar, a financial risk management startup founded by CEO Harsha Ramesh and CTO Chinmay Deshpande. The round, notable for its size relative to typical early-stage enterprise fintech raises, also drew participation from Uber CEO Dara Khosrowshahi, Crucible Capital, and Gallery Ventures. Pillar is targeting the complex challenge of financial risk management, which many companies continue to address through a combination of spreadsheets, legacy systems, and high-cost enterprise tools. Andreessen Horowitz's involvement reflects its broader strategy of investing in foundational software integral to business infrastructure, while Khosrowshahi's participation lends further credibility given his experience overseeing financial operations in global markets.</w:t>
      </w:r>
    </w:p>
    <w:p>
      <w:pPr>
        <w:pStyle w:val="Normal"/>
      </w:pPr>
      <w:r>
        <w:t xml:space="preserve">On July 3, 2026, Andreessen Horowitz announced it is leading a private funding round for Switch targeting approximately $2 billion, which would place Switch among an exclusive group of startups to have raised a ten-figure sum in a single effort. Specific details regarding Switch's valuation and the nature of its products have not yet been disclosed. The round follows Andreessen Horowitz's recent co-leadership of a $2 billion raise for AI coding startup Cursor, developed by Anysphere, alongside Nvidia and Thrive Capital — a deal that elevated Cursor's valuation to over $50 billion. The firm also anchored a record $2 billion seed round for Thinking Machines Lab, making the Switch round at least the third instance in which Andreessen Horowitz has led a raise in that range.</w:t>
      </w:r>
    </w:p>
    <w:p>
      <w:pPr>
        <w:pStyle w:val="Normal"/>
      </w:pPr>
      <w:r>
        <w:t xml:space="preserve">Andreessen Horowitz also led a $30 million Series A financing round for Prosper AI, a healthcare administration platform that reported a fivefold revenue increase and now manages over $1.3 billion in patient care as of June 30, 2026. Prosper AI's platform handles scheduling, insurance verification, patient billing, and payer communications, with the company reporting that healthcare providers utilizing its tools can reduce administrative costs by more than 40%. Clients include Athenahealth and Jackson Memorial Hospital. Co-Founder and Co-CEO Xavier de Gracia indicated that the new capital will support expansion of the engineering team, deeper integrations with Electronic Health Record systems, and accelerated market adoption. Jay Rughani, Partner at Andreessen Horowitz, cited the firm's admiration for Prosper AI's ambition to eliminate administrative hurdles in healthcare as a central driver of the investment decision.</w:t>
      </w:r>
    </w:p>
    <w:p>
      <w:pPr>
        <w:pStyle w:val="Normal"/>
      </w:pPr>
      <w:r>
        <w:t xml:space="preserve">Sequoia Capital partner Luciana Lixandru, the firm's first European partner, offered a forward-looking perspective on the European tech landscape during a conversation on June 23, 2026, asserting that the region is entering a pivotal phase with the potential to produce a trillion-dollar technology company. Lixandru, who has worked with startups including Deliveroo, UiPath, and Vinted, described European founders as increasingly capable of building generational companies, pointing to Pennylane and ElevenLabs as examples of the shifting founder profile — entrepreneurs with backgrounds in established tech firms now building innovative solutions on the continent. She identified artificial intelligence as a key equalizer enabling European entrepreneurs to compete globally, while acknowledging that fragmented regional ecosystems and limited cross-border collaboration frameworks remain persistent challenges. Sequoia Capital's ongoing investments in European ventures are positioned as a contributing factor to the region's long-term growth trajectory.</w:t>
      </w:r>
    </w:p>
    <w:p>
      <w:pPr>
        <w:pStyle w:val="Normal"/>
      </w:pPr>
      <w:r>
        <w:t xml:space="preserve">Sequoia partner Shaun Maguire, writing on June 16, 2026, argued that SpaceX's recent public offering — priced at approximately $135 per share with a post-IPO valuation surpassing $2 trillion — will accelerate a migration of talent from established research institutions and software roles into hardware-centric sectors including biology, longevity, energy, and climate technology. Maguire noted that a substantial portion of the hardware startups he encounters already include SpaceX alumni among their founding teams, drawing a parallel to the entrepreneurial spillover that followed PayPal's early-2000s listing. Sequoia's own stake in SpaceX reportedly grew from approximately $2 billion to over $20 billion following the IPO, with Maguire having personally invested roughly $1.2 billion in the company since 2019 through the firm. Maguire cautioned that execution risks remain, particularly regulatory timelines in biology, capital intensity in energy, and policy sensitivity in climate technology.</w:t>
      </w:r>
    </w:p>
    <w:p>
      <w:pPr>
        <w:pStyle w:val="Normal"/>
      </w:pPr>
      <w:r>
        <w:t xml:space="preserve">Sequoia Capital also led a $56 million funding round for Astrocade, announced May 5, 2026, a startup enabling non-technical users to create playable games using generative AI tools. Astrocade aims to make game creation a mainstream consumer activity, using AI to generate playable game logic, art assets, and mechanics from simple text descriptions. Sequoia's investment reflects confidence in the platform's potential to integrate both game creation and gameplay within a single ecosystem, a differentiation from prior tools that produced content for external platforms. The company faces the dual challenge of ensuring retention and quality, as generating functional games quickly does not guarantee a sustained and engaging player experience. The platform's long-term success will depend on its ability to implement effective curation and iteration systems while establishing an ecosystem comparable in scale and community engagement to existing platforms.</w:t>
      </w:r>
    </w:p>
    <w:p>
      <w:pPr>
        <w:pStyle w:val="Normal"/>
      </w:pPr>
      <w:r>
        <w:t xml:space="preserve">Accel has been similarly active, with its India-focused operations anchoring several significant funding rounds. On June 30, 2026, franchise-driven omnichannel grocery and FMCG chain Apna Mart announced a ₹120 crore (approximately $12.7 million) Series C round co-led by Accel India and Fundamentum, with additional support from Peak XV Partners. The round marks Apna Mart's second funding event in just over a year, following a $25 million Series B in March 2025 also led by Fundamentum and Accel. Regulatory filings indicate the company's board approved the issuance of 2,367 Series C compulsorily convertible preference shares at ₹5,06,757 each, with Accel India and Fundamentum each committing ₹55 crore and Peak XV Partners contributing ₹10 crore. Apna Mart's valuation is projected to reach approximately ₹1,470 crore, nearly double the ₹738 crore recorded at its last funding round. Founded by Abhishek Singh and Chetan Garg, the company operates a franchise-led quick commerce model targeting Tier II and Tier III cities, reporting operating revenue of ₹185 crore in fiscal year ending March 2025 and claiming revenue growth of 2.5 times to ₹500 crore in FY26.</w:t>
      </w:r>
    </w:p>
    <w:p>
      <w:pPr>
        <w:pStyle w:val="Normal"/>
      </w:pPr>
      <w:r>
        <w:t xml:space="preserve">On June 29, 2026, Accel India led a Rs 130 crore Series A round for Bengaluru-based credit management startup Oolka, valuing the company at approximately Rs 730 crore. Accel India invested Rs 87.22 crore in the round, with Lightspeed contributing Rs 20.87 crore and Z47 — formerly Matrix Partners — adding Rs 20.86 crore. Meesho co-founders Vidit Aatrey and Sanjeev Barnwal each participated with investments of Rs 32.65 lakh. Founded in 2024 by Utkrishta Kumar, Oolka is developing an AI-powered credit management platform designed to help users track, manage, and improve credit health. A prior $7 million seed round supported the company's growth to nearly 2 million users and over Rs 100 crore in processed credit repayments, with banking partnerships including Yes Bank, IDFC First Bank, and AU Small Finance Bank. Oolka reported modest revenue of Rs 5.52 lakh against a loss of Rs 5.58 crore in FY25 and has not yet submitted its FY26 results, competing against platforms including GoodScore, OneScore, Paisabazaar, and CRED.</w:t>
      </w:r>
    </w:p>
    <w:p>
      <w:pPr>
        <w:pStyle w:val="Normal"/>
      </w:pPr>
      <w:r>
        <w:t xml:space="preserve">Also on June 29, 2026, Accel backed Pocket — developed by Open Vision Engineering, Inc. — with an $11 million funding round alongside Y Combinator and individual investors including Guillermo Rauch, Mati Staniszewski, and Kaz Nejatian. Pocket is a dedicated AI hardware device designed to capture conversations and generate concise summaries, speaker-attributed notes, and actionable follow-up items. The company first gained attention following a concept video in late 2024 that generated thousands of pre-orders, subsequently launched in October 2025, and shipped over 10,000 devices on its first day. As of March 2026, Pocket reported an annualized revenue run rate of $27 million and cumulative shipments exceeding 35,000 devices. CEO and co-founder Akshay Narisetti stated the company was founded on the belief that the best technology should help people be more present, not more distracted. Accel partner Cecilia Wang described Pocket as helping define a new category of AI-native devices, noting the team's combination of product vision and execution as central reasons for the firm's investment, and expressing confidence in the company's path to reaching millions of users and shaping the future of AI hardware.</w:t>
      </w:r>
    </w:p>
    <w:p>
      <w:pPr>
        <w:pStyle w:val="Normal"/>
      </w:pPr>
      <w:r>
        <w:t xml:space="preserve">PermID: 4297042748</w:t>
      </w:r>
    </w:p>
    <w:p>
      <w:pPr>
        <w:pStyle w:val="Normal"/>
      </w:pPr>
      <w:r>
        <w:t xml:space="preserve">Created by  for News Bites Finance</w:t>
      </w:r>
    </w:p>
    <w:p>
      <w:pPr>
        <w:pStyle w:val="Normal"/>
      </w:pPr>
      <w:r>
        <w:t xml:space="preserve">Classification</w:t>
      </w:r>
    </w:p>
    <w:p>
      <w:pPr>
        <w:pStyle w:val="Normal"/>
      </w:pPr>
      <w:r>
        <w:t xml:space="preserve">Language: English</w:t>
      </w:r>
    </w:p>
    <w:p>
      <w:pPr>
        <w:pStyle w:val="Normal"/>
      </w:pPr>
      <w:r>
        <w:t xml:space="preserve">Document-Type: Jasper_automation</w:t>
      </w:r>
    </w:p>
    <w:p>
      <w:pPr>
        <w:pStyle w:val="Normal"/>
      </w:pPr>
      <w:r>
        <w:t xml:space="preserve">Publication-Type: Newswire</w:t>
      </w:r>
    </w:p>
    <w:p>
      <w:pPr>
        <w:pStyle w:val="Normal"/>
      </w:pPr>
      <w:r>
        <w:t xml:space="preserve">Subject:  TECHNOLOGY (90%);  BUSINESS REPORTS &amp; FORECASTS (90%);  FINANCIAL MARKET UPDATES (90%);  TRENDS (90%);  VENTURE CAPITAL (90%);  CHILDREN  ADOLESCENTS &amp; TEENS (89%);  ARTIFICIAL INTELLIGENCE (89%);  EXECUTIVES (89%);  PATTERN RECOGNITION (89%);  VOICE RECOGNITION (89%);  COMPANY STRATEGY (78%);  FINANCIAL TECHNOLOGY (78%);  ASSET MANAGEMENT (78%);  INVESTMENT MANAGEMENT (78%);  FINANCING ROUNDS (78%);  STRATEGIC PARTNERSHIPS (78%);  ON DEMAND SERVICES (76%);  GOING PRIVATE (74%);  DELISTINGS (73%);  SOVEREIGN WEALTH FUNDS (73%);  ARTIFICIAL INTELLIGENCE INFRASTRUCTURE (72%);  CHILD DEVELOPMENT (72%);  STOCK EXCHANGES (68%);  ACOUSTIC &amp; AUDIO SENSORS (60%);  ALLIANCES &amp; PARTNERSHIPS (58%); COMPANY STRATEGY (78%); GOING PRIVATE (74%); STRATEGIC PARTNERSHIPS (78%); ARTIFICIAL INTELLIGENCE INFRASTRUCTURE (72%); STOCK EXCHANGES (68%); TECHNOLOGY (90%); BUSINESS REPORTS &amp; FORECASTS (90%); FINANCING ROUNDS (78%); FINANCIAL MARKET UPDATES (90%); EXECUTIVES (89%); DELISTINGS (73%); VOICE RECOGNITION (89%); INVESTMENT MANAGEMENT (78%); VENTURE CAPITAL (90%); CHILD DEVELOPMENT (72%); ARTIFICIAL INTELLIGENCE (89%); ALLIANCES &amp; PARTNERSHIPS (58%); CHILDREN, ADOLESCENTS &amp; TEENS (89%); SOVEREIGN WEALTH FUNDS (73%); FINANCIAL TECHNOLOGY (78%); TRENDS (90%)</w:t>
      </w:r>
    </w:p>
    <w:p>
      <w:pPr>
        <w:pStyle w:val="Normal"/>
      </w:pPr>
      <w:r>
        <w:t xml:space="preserve">Company:  JANUS HENDERSON GROUP PLC (91%);  SUN HUNG KAI &amp; CO LTD (65%);  GOOGLE LLC (58%);  NEW YORK STOCK EXCHANGE LLC (56%); General Catalyst</w:t>
      </w:r>
    </w:p>
    <w:p>
      <w:pPr>
        <w:pStyle w:val="Normal"/>
      </w:pPr>
      <w:r>
        <w:t xml:space="preserve">Ticker: JHG (ASX) (91%); JHG (LSE) (91%); JHG (NYSE) (91%); 0086 (HKSE) (65%); GENERALCATALYST</w:t>
      </w:r>
    </w:p>
    <w:p>
      <w:pPr>
        <w:pStyle w:val="Normal"/>
      </w:pPr>
      <w:r>
        <w:t xml:space="preserve">Industry: NAICS523940 PORTFOLIO MANAGEMENT AND INVESTMENT ADVICE (91%); SIC6282 INVESTMENT ADVICE (91%); NAICS523150 INVESTMENT BANKING AND SECURITIES INTERMEDIATION (65%); SIC6211 SECURITY BROKERS, DEALERS, &amp; FLOTATION COMPANIES (65%); NAICS519290 WEB SEARCH PORTALS AND ALL OTHER INFORMATION SERVICES (58%); ON DEMAND SERVICES (76%); ASSET MANAGEMENT (78%); ARTIFICIAL INTELLIGENCE INFRASTRUCTURE (72%); STOCK EXCHANGES (68%); FINANCIAL MARKET UPDATES (90%); PATTERN RECOGNITION (89%); DELISTINGS (73%); VOICE RECOGNITION (89%); INVESTMENT MANAGEMENT (78%); VENTURE CAPITAL (90%); ARTIFICIAL INTELLIGENCE (89%); ACOUSTIC &amp; AUDIO SENSORS (60%); SOVEREIGN WEALTH FUNDS (73%); FINANCIAL TECHNOLOGY (78%); 523910 (%)</w:t>
      </w:r>
    </w:p>
    <w:p>
      <w:pPr>
        <w:pStyle w:val="Normal"/>
      </w:pPr>
      <w:r>
        <w:t xml:space="preserve">Person:  RONALD L NELSON (50%); RONALD L NELSON (50%)</w:t>
      </w:r>
    </w:p>
    <w:p>
      <w:pPr>
        <w:pStyle w:val="Normal"/>
      </w:pPr>
      <w:r>
        <w:t xml:space="preserve">Geographic:  MASSACHUSETTS, USA (90%); MASSACHUSETTS, USA (90%);  UNITED STATES (90%); United States; United States</w:t>
      </w:r>
    </w:p>
    <w:p>
      <w:pPr>
        <w:pStyle w:val="Normal"/>
      </w:pPr>
      <w:r>
        <w:t xml:space="preserve">Load-Date: July 9,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2026-10-22T20:15:11Z</dcterms:modified>
  <cp:category/>
</cp:coreProperties>
</file>