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8, 2026 Wednesday</w:t>
      </w:r>
    </w:p>
    <w:p>
      <w:pPr>
        <w:pStyle w:val="Normal"/>
      </w:pPr>
      <w:r>
        <w:t xml:space="preserve">Copyright 2026 Jupiter International (Australia) Pty Ltd. All Rights Reserved</w:t>
      </w:r>
    </w:p>
    <w:p>
      <w:pPr>
        <w:pStyle w:val="Normal"/>
      </w:pPr>
      <w:r>
        <w:t xml:space="preserve">Section: ANNOUNCEMENTS</w:t>
      </w:r>
    </w:p>
    <w:p>
      <w:pPr>
        <w:pStyle w:val="Normal"/>
      </w:pPr>
      <w:r>
        <w:t xml:space="preserve">Length: 1290 words</w:t>
      </w:r>
    </w:p>
    <w:p>
      <w:pPr>
        <w:pStyle w:val="Normal"/>
      </w:pPr>
      <w:r>
        <w:t xml:space="preserve">Body</w:t>
      </w:r>
    </w:p>
    <w:p>
      <w:pPr>
        <w:pStyle w:val="Normal"/>
      </w:pPr>
      <w:r>
        <w:t xml:space="preserve">M13 General Partner Latif Peracha announced on April 15, 2026, the firm's decision to co-lead OpenFX's Series A funding round, marking a notable move by the early-stage venture capital firm into the digital asset and foreign exchange space. Peracha stated that M13's involvement is driven by a shared vision of enhancing the trading experience for both retail and institutional investors, with OpenFX positioned to address longstanding inefficiencies in currency markets, including high transaction fees and slow settlement times. The Series A capital is earmarked to bolster OpenFX's technological infrastructure and broaden its market footprint, with M13's scaling expertise expected to play a central role in guiding the platform's product expansion and user acquisition strategy. Peracha noted that as the digital currency ecosystem matures, partnerships of this nature will become increasingly important in navigating the complexities of the financial landscape.</w:t>
      </w:r>
    </w:p>
    <w:p>
      <w:pPr>
        <w:pStyle w:val="Normal"/>
      </w:pPr>
      <w:r>
        <w:t xml:space="preserve">Across the venture capital landscape, peer firm General Catalyst completed a landmark transaction on June 30, 2026, as Janus Henderson Group Ltd. finalized its take-private deal involving Trian Fund Management, General Catalyst Group Management, and Qatar Investment Authority. Under the terms of the agreement, Janus Henderson's public shares were converted into cash at $52.00 per share and subsequently delisted from the New York Stock Exchange. Ali Dibadj, who continues as Chief Executive Officer, described the transition as a transformative opportunity, highlighting long-term investment plans spanning investment solutions, technology, and talent development. General Catalyst CEO Hemant Taneja remarked on the collaboration, stating the firm's commitment to enhancing Janus Henderson's technological capabilities and overall growth strategy, with the combined partnership expected to unlock new standards within the asset management industry. The transaction drew support from a broad investor group including MassMutual and Sun Hung Kai &amp; Co.</w:t>
      </w:r>
    </w:p>
    <w:p>
      <w:pPr>
        <w:pStyle w:val="Normal"/>
      </w:pPr>
      <w:r>
        <w:t xml:space="preserve">Earlier in June, General Catalyst also participated in a $1.5 million seed funding round for Gurugram-based Omli, announced on June 17, 2026. The round was led by India Quotient, with General Catalyst joining as a participating investor. Founded in 2025 by Shivam Munshi and Siddhant Garg, Omli is developing AI infrastructure specifically tailored for children's speech and language development — a segment largely overlooked by existing commercial speech recognition systems, which are predominantly trained on adult voices. The company's flagship product, OmliKids, allows children aged three to ten to engage in voice-based conversations with an AI companion named Doro and has already surpassed 500,000 downloads on the Google Play Store within months of launch. To address accuracy gaps in existing models, Omli developed VedAnsh-v1, a proprietary speech-to-text and voice activity detection system built for children's voices, demonstrating meaningful improvements in word error rates when benchmarked against leading commercial systems. Co-founder Siddhant Garg outlined the company's ambition to achieve adult-grade accuracy in children's speech recognition, including support for Indian accents and vernacular languages. India Quotient's Madhukar noted that children represent the largest consumer segment for which AI solutions are yet to be meaningfully developed.</w:t>
      </w:r>
    </w:p>
    <w:p>
      <w:pPr>
        <w:pStyle w:val="Normal"/>
      </w:pPr>
      <w:r>
        <w:t xml:space="preserve">General Catalyst also led an $85 million growth round for Rylo, formerly known as Nagish, through its Customer Value Fund, with Canaan, Vertex Ventures, and Contour participating in the raise. The investment pushes Rylo's total funding beyond $100 million and signals continued confidence in AI-driven accessibility technology. Headquartered across Tel Aviv and New York, Rylo has developed a communication platform delivering real-time captioning for phone calls, instant speech-to-text conversion, text-to-speech capabilities, and in-person transcription services for Deaf and hard-of-hearing users. Following its acquisition of Sign.mt in 2025, the company launched Rylo Sign, enabling real-time translation between spoken and sign languages. The platform has since expanded to incorporate speaker recognition, sentiment analysis, and fraud detection features. The newly raised capital is directed toward scaling Rylo's engineering, product development, and commercial teams, alongside investment in AI research, infrastructure development, and new workplace accessibility solutions.</w:t>
      </w:r>
    </w:p>
    <w:p>
      <w:pPr>
        <w:pStyle w:val="Normal"/>
      </w:pPr>
      <w:r>
        <w:t xml:space="preserve">Lightspeed Venture Partners, another prominent peer in the venture capital sector, disclosed the sale of Netskope Inc. (NASDAQ: NTSK) Class A common stock totaling approximately $15.1 million, according to a recent SEC filing. On June 12, 2026, Lightspeed Opportunity Fund, L.P. converted 1,650,000 shares of Class B common stock into Class A shares and subsequently sold 1,313,827 shares at a weighted average price of $9.19 per share. On June 15, 2026, the fund sold an additional 336,173 Class A shares at a weighted average price of $9.00 per share, bringing the total value of the transactions to $15,099,627. At the time of the sales, Netskope shares were trading at approximately $8.95, down roughly 60% over the prior year and near their 52-week low of $7.67. Following the transactions, Lightspeed Opportunity Fund, L.P. holds no Class A common stock, though other Lightspeed entities collectively retained 62,843,207 shares of Netskope Class B common stock as of June 12, 2026. Netskope separately reported annual recurring revenue of $845 million, reflecting 29% year-over-year growth, and total revenue of approximately $202 million, up 28% year-over-year. Several analysts revised their price targets on the stock, with TD Cowen reducing its target from $25 to $19 while maintaining a Buy rating, citing the ARR miss and the departure of the CFO as contributing factors. BMO Capital and RBC Capital both lowered their targets to $13 with Outperform ratings, while Piper Sandler reduced its target to $18, noting strong new logo ARR growth and early traction with AI products but flagging challenges in sales force productivity.</w:t>
      </w:r>
    </w:p>
    <w:p>
      <w:pPr>
        <w:pStyle w:val="Normal"/>
      </w:pPr>
      <w:r>
        <w:t xml:space="preserve">Lightspeed also moved to strengthen its marketing leadership ahead of an anticipated fundraising effort targeting approximately $500 million for its fifth India and Southeast Asia-focused fund, appointing Rohit Kaul as the firm's new marketing head. Kaul previously served as Vice President of Marketing at Blume Ventures from February 2023, with additional experience at Sacra and HCL. His appointment follows the exit of former VP of Marketing and Communications Mansi Chugh, who departed after nearly four years. Lightspeed has established a significant presence in India's startup ecosystem through investments in companies including OYO, Udaan, ShareChat, PhysicsWallah, and Pocket FM, and Kaul's hire is seen as a strategic step to bolster the firm's brand and outreach as the regional investment environment faces funding headwinds and pressure on portfolio performance.</w:t>
      </w:r>
    </w:p>
    <w:p>
      <w:pPr>
        <w:pStyle w:val="Normal"/>
      </w:pPr>
      <w:r>
        <w:t xml:space="preserve">On May 13, 2026, Lightspeed Venture Partners also publicly acknowledged its participation in consecutive funding rounds for a startup focused on agent evaluation — a sector drawing growing venture interest for its use of technology to improve agent performance assessment processes. Lightspeed's back-to-back investment reflects a broader trend of venture capital firms seeking opportunities in niche sectors where technological innovation can meaningfully reshape traditional business operations. The startup intends to use the capital to expand its product offerings, enhance its platform capabilities, and invest in marketing strategies to strengthen market presence.</w:t>
      </w:r>
    </w:p>
    <w:p>
      <w:pPr>
        <w:pStyle w:val="Normal"/>
      </w:pPr>
      <w:r>
        <w:t xml:space="preserve">PermID: 5060022710</w:t>
      </w:r>
    </w:p>
    <w:p>
      <w:pPr>
        <w:pStyle w:val="Normal"/>
      </w:pPr>
      <w:r>
        <w:t xml:space="preserve">Created by  for News Bites Finance</w:t>
      </w:r>
    </w:p>
    <w:p>
      <w:pPr>
        <w:pStyle w:val="Normal"/>
      </w:pPr>
      <w:r>
        <w:t xml:space="preserve">Classification</w:t>
      </w:r>
    </w:p>
    <w:p>
      <w:pPr>
        <w:pStyle w:val="Normal"/>
      </w:pPr>
      <w:r>
        <w:t xml:space="preserve">Language: English</w:t>
      </w:r>
    </w:p>
    <w:p>
      <w:pPr>
        <w:pStyle w:val="Normal"/>
      </w:pPr>
      <w:r>
        <w:t xml:space="preserve">Document-Type: Jasper_automation</w:t>
      </w:r>
    </w:p>
    <w:p>
      <w:pPr>
        <w:pStyle w:val="Normal"/>
      </w:pPr>
      <w:r>
        <w:t xml:space="preserve">Publication-Type: Newswire</w:t>
      </w:r>
    </w:p>
    <w:p>
      <w:pPr>
        <w:pStyle w:val="Normal"/>
      </w:pPr>
      <w:r>
        <w:t xml:space="preserve">Subject:  FINANCING ROUNDS (91%);  BUSINESS REPORTS &amp; FORECASTS (90%);  EQUITY FINANCING (90%);  FOREIGN EXCHANGE MARKETS (90%);  FINANCIAL MARKET UPDATES (90%);  GENERAL PARTNERSHIPS (90%);  CHILDREN  ADOLESCENTS &amp; TEENS (89%);  TECHNOLOGY (89%);  VENTURE CAPITAL (89%);  VOICE RECOGNITION (89%);  TRENDS (86%);  ARTIFICIAL INTELLIGENCE (84%);  COMPANY STRATEGY (78%);  AGREEMENTS (78%);  DIGITAL CURRENCY (77%);  DELISTINGS (77%);  CURRENCIES (77%);  ASSET MANAGEMENT (77%);  INVESTMENT MANAGEMENT (77%);  DIGITAL ASSETS (77%);  SOVEREIGN WEALTH FUNDS (77%);  DIGITAL ASSET MANAGEMENT (77%);  STOCK EXCHANGES (77%);  RETAIL &amp; WHOLESALE TRADE (76%);  GOING PRIVATE (75%);  ARTIFICIAL INTELLIGENCE INFRASTRUCTURE (75%);  BUSINESS EXPANSION (74%);  EXECUTIVES (71%);  CHILD DEVELOPMENT (69%);  PATTERN RECOGNITION (65%);  ACOUSTIC &amp; AUDIO SENSORS (60%); COMPANY STRATEGY (78%); GOING PRIVATE (75%); ARTIFICIAL INTELLIGENCE INFRASTRUCTURE (75%); STOCK EXCHANGES (77%); DIGITAL CURRENCY (77%); TECHNOLOGY (89%); BUSINESS REPORTS &amp; FORECASTS (90%); FINANCING ROUNDS (93%); EQUITY FINANCING (90%); FINANCIAL MARKET UPDATES (90%); EXECUTIVES (71%); DELISTINGS (77%); VOICE RECOGNITION (89%); INVESTMENT MANAGEMENT (77%); VENTURE CAPITAL (89%); CHILD DEVELOPMENT (69%); CURRENCIES (77%); FOREIGN EXCHANGE MARKETS (90%); ARTIFICIAL INTELLIGENCE (84%); CHILDREN, ADOLESCENTS &amp; TEENS (89%); SOVEREIGN WEALTH FUNDS (77%); GENERAL PARTNERSHIPS (90%); TRENDS (86%); BUSINESS EXPANSION (74%); AGREEMENTS (78%)</w:t>
      </w:r>
    </w:p>
    <w:p>
      <w:pPr>
        <w:pStyle w:val="Normal"/>
      </w:pPr>
      <w:r>
        <w:t xml:space="preserve">Company:  JANUS HENDERSON GROUP PLC (69%);  SUN HUNG KAI &amp; CO LTD (65%);  GOOGLE LLC (54%);  NEW YORK STOCK EXCHANGE LLC (54%); M13</w:t>
      </w:r>
    </w:p>
    <w:p>
      <w:pPr>
        <w:pStyle w:val="Normal"/>
      </w:pPr>
      <w:r>
        <w:t xml:space="preserve">Ticker: JHG (ASX) (69%); JHG (LSE) (69%); JHG (NYSE) (69%); 0086 (HKSE) (65%); M13</w:t>
      </w:r>
    </w:p>
    <w:p>
      <w:pPr>
        <w:pStyle w:val="Normal"/>
      </w:pPr>
      <w:r>
        <w:t xml:space="preserve">Industry: NAICS523940 PORTFOLIO MANAGEMENT AND INVESTMENT ADVICE (69%); SIC6282 INVESTMENT ADVICE (69%); NAICS523150 INVESTMENT BANKING AND SECURITIES INTERMEDIATION (65%); SIC6211 SECURITY BROKERS, DEALERS, &amp; FLOTATION COMPANIES (65%); NAICS519290 WEB SEARCH PORTALS AND ALL OTHER INFORMATION SERVICES (54%); ASSET MANAGEMENT (77%); ARTIFICIAL INTELLIGENCE INFRASTRUCTURE (75%); STOCK EXCHANGES (77%); DIGITAL CURRENCY (77%); DIGITAL ASSETS (77%); EQUITY FINANCING (90%); FINANCIAL MARKET UPDATES (90%); PATTERN RECOGNITION (65%); DELISTINGS (77%); VOICE RECOGNITION (89%); INVESTMENT MANAGEMENT (77%); VENTURE CAPITAL (89%); CURRENCIES (77%); FOREIGN EXCHANGE MARKETS (90%); ARTIFICIAL INTELLIGENCE (84%); ACOUSTIC &amp; AUDIO SENSORS (60%); SOVEREIGN WEALTH FUNDS (77%); DIGITAL ASSET MANAGEMENT (77%); RETAIL &amp; WHOLESALE TRADE (76%); 523910 (%)</w:t>
      </w:r>
    </w:p>
    <w:p>
      <w:pPr>
        <w:pStyle w:val="Normal"/>
      </w:pPr>
      <w:r>
        <w:t xml:space="preserve">Geographic: United States; United States</w:t>
      </w:r>
    </w:p>
    <w:p>
      <w:pPr>
        <w:pStyle w:val="Normal"/>
      </w:pPr>
      <w:r>
        <w:t xml:space="preserve">Load-Date: July 8,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2026-10-22T20:15:15Z</dcterms:modified>
  <cp:category/>
</cp:coreProperties>
</file>