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News Bites - Private Companies</w:t>
      </w:r>
    </w:p>
    <w:p>
      <w:pPr>
        <w:pStyle w:val="Normal"/>
      </w:pPr>
      <w:r>
        <w:t xml:space="preserve">July 9, 2026 Thursday</w:t>
      </w:r>
    </w:p>
    <w:p>
      <w:pPr>
        <w:pStyle w:val="Normal"/>
      </w:pPr>
      <w:r>
        <w:t xml:space="preserve">Copyright 2026 Jupiter International (Australia) Pty Ltd. All Rights Reserved</w:t>
      </w:r>
    </w:p>
    <w:p>
      <w:pPr>
        <w:pStyle w:val="Normal"/>
      </w:pPr>
      <w:r>
        <w:t xml:space="preserve">Section: ANNOUNCEMENTS</w:t>
      </w:r>
    </w:p>
    <w:p>
      <w:pPr>
        <w:pStyle w:val="Normal"/>
      </w:pPr>
      <w:r>
        <w:t xml:space="preserve">Length: 1351 words</w:t>
      </w:r>
    </w:p>
    <w:p>
      <w:pPr>
        <w:pStyle w:val="Normal"/>
      </w:pPr>
      <w:r>
        <w:t xml:space="preserve">Body</w:t>
      </w:r>
    </w:p>
    <w:p>
      <w:pPr>
        <w:pStyle w:val="Normal"/>
      </w:pPr>
      <w:r>
        <w:t xml:space="preserve">M13 General Partner Latif Peracha announced on April 15, 2025, the firm's decision to co-lead OpenFX's Series A funding round, citing strategic alignment and the platform's growth potential in the digital asset space. Peracha expressed confidence in OpenFX's approach to transforming the foreign exchange market, which has faced increasing demand for more efficient and transparent trading solutions. The funding round is designed to bolster OpenFX's technological infrastructure and expand its market reach, positioning the platform as a competitive player in the evolving digital finance landscape. According to Peracha, OpenFX is well-equipped to address longstanding challenges faced by traders, including high fees and slow transaction times, by leveraging cutting-edge technology to deliver a seamless trading experience. M13's strategic guidance is expected to play a central role in executing OpenFX's product expansion plans, with new features in development aimed at meeting the evolving needs of its user base. Peracha noted that M13's expertise in scaling technology companies provides a valuable resource for OpenFX as the digital currency ecosystem matures and partnerships become increasingly critical to navigating the financial landscape.</w:t>
      </w:r>
    </w:p>
    <w:p>
      <w:pPr>
        <w:pStyle w:val="Normal"/>
      </w:pPr>
      <w:r>
        <w:t xml:space="preserve">In the broader sector, peer firm General Catalyst finalized a significant take-private transaction involving Janus Henderson Group Ltd. on June 30, 2025, alongside Trian Fund Management and Qatar Investment Authority. Under the terms of the deal, Janus Henderson's public shares were converted into cash at $52.00 per share and delisted from the New York Stock Exchange. The firm will continue operating under its existing management team, with Ali Dibadj serving as Chief Executive Officer and maintaining operational bases in London and Denver. Dibadj emphasized the transformative opportunities ahead through the partnership with Trian and General Catalyst, framing the transition as a means to deliver exceptional services and long-term investment in technology, talent, and client solutions. Trian CEO Nelson Peltz noted the considerable progress Janus Henderson has made since Trian's initial investment in 2025, while General Catalyst CEO Hemant Taneja highlighted the partnership's commitment to enhancing Janus Henderson's technological capabilities and growth strategy. The transaction was supported by a group of global investors including MassMutual and Sun Hung Kai &amp; Co., with legal and financial advisement provided by leading industry firms.</w:t>
      </w:r>
    </w:p>
    <w:p>
      <w:pPr>
        <w:pStyle w:val="Normal"/>
      </w:pPr>
      <w:r>
        <w:t xml:space="preserve">General Catalyst also participated in a $1.5 million seed funding round for Gurugram-based Omli, announced on June 17, 2025, with the round led by India Quotient. Founded in 2025 by Shivam Munshi and Siddhant Garg, Omli develops AI infrastructure focused on children's speech and language development, addressing a gap in existing commercial speech recognition systems that are predominantly trained on adult voices. The company's flagship application, OmliKids, enables children aged three to ten to engage in voice-based conversations with an AI companion named Doro, and has achieved over 500,000 downloads on the Google Play Store within a few months of launch. To address accuracy limitations in conventional systems, Omli developed VedAnsh-v1, a proprietary speech-to-text and voice activity detection model specifically designed for children's voices, demonstrating significant improvements in word error rates compared to existing commercial alternatives. Co-founder Siddhant Garg outlined the company's ambition to achieve adult-grade accuracy in children's speech recognition, including support for Indian accents and vernacular languages, while the team of approximately 15 employees continues developing the next generation of its speech model. India Quotient's Madhukar noted that children represent the largest consumer segment for which AI solutions have yet to be meaningfully developed, underscoring investor interest in the space.</w:t>
      </w:r>
    </w:p>
    <w:p>
      <w:pPr>
        <w:pStyle w:val="Normal"/>
      </w:pPr>
      <w:r>
        <w:t xml:space="preserve">In a separate development, General Catalyst's Customer Value Fund led an $85 million growth round for Rylo, formerly known as Nagish, with participation from Canaan, Vertex Ventures, and Contour. The investment pushes Rylo's total funding beyond $100 million and reflects growing investor confidence in AI-driven accessibility technologies. Based in Tel Aviv and New York, Rylo develops communication solutions for Deaf and hard-of-hearing individuals, offering real-time captioning for phone calls, instant speech-to-text conversion, text-to-speech capabilities, and in-person transcription services. Following its acquisition of Sign.mt in 2025, the company launched Rylo Sign, enabling real-time translation between spoken and sign languages, and has further incorporated AI features including speaker recognition, sentiment analysis, and fraud detection. The newly raised capital will support expansion of Rylo's engineering, product development, and commercial operations teams, alongside continued investment in AI research, infrastructure development, and new workplace accessibility solutions.</w:t>
      </w:r>
    </w:p>
    <w:p>
      <w:pPr>
        <w:pStyle w:val="Normal"/>
      </w:pPr>
      <w:r>
        <w:t xml:space="preserve">Lightspeed Venture Partners, another peer, reported the sale of Netskope Inc. (NASDAQ: NTSK) Class A common stock totaling approximately $15.1 million, according to a recent SEC filing covering transactions on June 12 and June 15, 2025. On June 12, 2025, Lightspeed Opportunity Fund, L.P. converted 1,650,000 shares of Class B common stock into Class A common stock at no additional consideration, subsequently selling 1,313,827 shares at a weighted average price of $9.19 per share. On June 15, 2025, the fund sold an additional 336,173 shares at a weighted average price of $9.00 per share, bringing the total value of the transactions to $15,099,627. Following these sales, Lightspeed Opportunity Fund, L.P. holds no Class A common stock, though other Lightspeed entities collectively retained 62,843,207 shares of Class B common stock as of June 12, 2025, convertible into Class A shares on a one-for-one basis. Netskope reported annual recurring revenue of $845 million, reflecting 29% year-over-year growth, which met general market expectations but fell short of some analysts' estimates, while total revenue reached approximately $202 million, a 28% year-over-year increase. TD Cowen reduced its price target for Netskope from $25 to $19, maintaining a Buy rating, citing the ARR miss and CFO departure, while BMO Capital and RBC Capital both lowered their targets to $13 with Outperform ratings, and Piper Sandler decreased its target to $18, noting strong new logo ARR growth alongside challenges in sales force productivity.</w:t>
      </w:r>
    </w:p>
    <w:p>
      <w:pPr>
        <w:pStyle w:val="Normal"/>
      </w:pPr>
      <w:r>
        <w:t xml:space="preserve">Lightspeed Venture Partners also moved to strengthen its marketing leadership team with the appointment of Rohit Kaul as the new marketing head, a hire that coincides with the firm's preparations to raise its fifth India and Southeast Asia-focused fund, reportedly targeting around $500 million. Kaul previously served as Vice President of Marketing at Blume Ventures from February 2023, with additional experience at Sacra and HCL. His appointment follows the departure of former VP of Marketing and Communications Mansi Chugh, who left after nearly four years in the role, and comes at a moment when Lightspeed is intensifying its investment focus in Indian and Southeast Asian markets amid a slowdown in startup funding and pressure on portfolio performance. The firm has established itself as one of the most prominent investors in India's startup ecosystem, with notable portfolio companies including OYO, Udaan, ShareChat, PhysicsWallah, and Pocket FM. Additionally, Lightspeed participated in consecutive funding rounds for an agent evaluation startup on May 13, 2025, backing a platform designed to streamline and enhance agent performance assessments. The startup's approach has attracted interest from major players across multiple industries, and the new capital is intended to expand product offerings, enhance technological capabilities, and fund marketing strategies aimed at building brand awareness in a competitive market.</w:t>
      </w:r>
    </w:p>
    <w:p>
      <w:pPr>
        <w:pStyle w:val="Normal"/>
      </w:pPr>
      <w:r>
        <w:t xml:space="preserve">PermID: 5060022710</w:t>
      </w:r>
    </w:p>
    <w:p>
      <w:pPr>
        <w:pStyle w:val="Normal"/>
      </w:pPr>
      <w:r>
        <w:t xml:space="preserve">Created by  for News Bites Finance</w:t>
      </w:r>
    </w:p>
    <w:p>
      <w:pPr>
        <w:pStyle w:val="Normal"/>
      </w:pPr>
      <w:r>
        <w:t xml:space="preserve">Classification</w:t>
      </w:r>
    </w:p>
    <w:p>
      <w:pPr>
        <w:pStyle w:val="Normal"/>
      </w:pPr>
      <w:r>
        <w:t xml:space="preserve">Language: English</w:t>
      </w:r>
    </w:p>
    <w:p>
      <w:pPr>
        <w:pStyle w:val="Normal"/>
      </w:pPr>
      <w:r>
        <w:t xml:space="preserve">Document-Type: Jasper_automation</w:t>
      </w:r>
    </w:p>
    <w:p>
      <w:pPr>
        <w:pStyle w:val="Normal"/>
      </w:pPr>
      <w:r>
        <w:t xml:space="preserve">Publication-Type: Newswire</w:t>
      </w:r>
    </w:p>
    <w:p>
      <w:pPr>
        <w:pStyle w:val="Normal"/>
      </w:pPr>
      <w:r>
        <w:t xml:space="preserve">Subject:  TECHNOLOGY (90%);  FINANCING ROUNDS (90%);  NEWS BRIEFS (90%);  BUSINESS REPORTS &amp; FORECASTS (90%);  EQUITY FINANCING (90%);  FINANCIAL MARKET UPDATES (90%);  GENERAL PARTNERSHIPS (90%);  CHILDREN  ADOLESCENTS &amp; TEENS (88%);  VOICE RECOGNITION (88%);  EXECUTIVES (86%);  ARTIFICIAL INTELLIGENCE (83%);  COMPANY STRATEGY (78%);  INFORMATION TECHNOLOGY INDUSTRY (78%);  DIGITAL CURRENCY (77%);  OUTPUT &amp; DEMAND (77%);  BUSINESS EXPANSION (77%);  FINANCIAL TECHNOLOGY (77%);  INVESTMENT MANAGEMENT (77%);  DIGITAL ASSETS (77%);  CHILD DEVELOPMENT (77%);  DELISTINGS (76%);  SOVEREIGN WEALTH FUNDS (76%);  FOREIGN EXCHANGE MARKETS (76%);  ARTIFICIAL INTELLIGENCE INFRASTRUCTURE (76%);  FOREIGN INVESTMENT (76%);  STOCK EXCHANGES (76%);  GOING PRIVATE (74%);  PRODUCT ENHANCEMENTS (73%);  MANAGERS &amp; SUPERVISORS (72%);  EMERGING TECHNOLOGY (71%);  PATTERN RECOGNITION (63%); COMPANY STRATEGY (78%); GOING PRIVATE (74%); ARTIFICIAL INTELLIGENCE INFRASTRUCTURE (76%); STOCK EXCHANGES (76%); DIGITAL CURRENCY (77%); TECHNOLOGY (90%); PRODUCT ENHANCEMENTS (73%); OUTPUT &amp; DEMAND (77%); BUSINESS REPORTS &amp; FORECASTS (90%); FINANCING ROUNDS (91%); EQUITY FINANCING (90%); FINANCIAL MARKET UPDATES (90%); EXECUTIVES (86%); DELISTINGS (76%); EMERGING TECHNOLOGY (71%); VOICE RECOGNITION (88%); INVESTMENT MANAGEMENT (77%); CHILD DEVELOPMENT (77%); NEWS BRIEFS (90%); FOREIGN EXCHANGE MARKETS (76%); ARTIFICIAL INTELLIGENCE (83%); CHILDREN, ADOLESCENTS &amp; TEENS (88%); MANAGERS &amp; SUPERVISORS (72%); SOVEREIGN WEALTH FUNDS (76%); GENERAL PARTNERSHIPS (90%); FINANCIAL TECHNOLOGY (77%); FOREIGN INVESTMENT (76%); BUSINESS EXPANSION (77%)</w:t>
      </w:r>
    </w:p>
    <w:p>
      <w:pPr>
        <w:pStyle w:val="Normal"/>
      </w:pPr>
      <w:r>
        <w:t xml:space="preserve">Company:  SUN HUNG KAI &amp; CO LTD (63%);  GOOGLE LLC (56%);  JANUS HENDERSON GROUP PLC (55%);  NEW YORK STOCK EXCHANGE LLC (54%); M13</w:t>
      </w:r>
    </w:p>
    <w:p>
      <w:pPr>
        <w:pStyle w:val="Normal"/>
      </w:pPr>
      <w:r>
        <w:t xml:space="preserve">Ticker: 0086 (HKSE) (63%); JHG (ASX) (55%); JHG (LSE) (55%); JHG (NYSE) (55%); M13</w:t>
      </w:r>
    </w:p>
    <w:p>
      <w:pPr>
        <w:pStyle w:val="Normal"/>
      </w:pPr>
      <w:r>
        <w:t xml:space="preserve">Industry: NAICS523150 INVESTMENT BANKING AND SECURITIES INTERMEDIATION (63%); SIC6211 SECURITY BROKERS, DEALERS, &amp; FLOTATION COMPANIES (63%); NAICS519290 WEB SEARCH PORTALS AND ALL OTHER INFORMATION SERVICES (56%); NAICS523940 PORTFOLIO MANAGEMENT AND INVESTMENT ADVICE (55%); SIC6282 INVESTMENT ADVICE (55%); ARTIFICIAL INTELLIGENCE INFRASTRUCTURE (76%); STOCK EXCHANGES (76%); DIGITAL CURRENCY (77%); DIGITAL ASSETS (77%); EQUITY FINANCING (90%); FINANCIAL MARKET UPDATES (90%); PATTERN RECOGNITION (62%); DELISTINGS (76%); VOICE RECOGNITION (88%); INVESTMENT MANAGEMENT (77%); FOREIGN EXCHANGE MARKETS (76%); ARTIFICIAL INTELLIGENCE (83%); SOVEREIGN WEALTH FUNDS (76%); FINANCIAL TECHNOLOGY (77%); INFORMATION TECHNOLOGY INDUSTRY (78%); 523910 (%)</w:t>
      </w:r>
    </w:p>
    <w:p>
      <w:pPr>
        <w:pStyle w:val="Normal"/>
      </w:pPr>
      <w:r>
        <w:t xml:space="preserve">Person:  RONALD L NELSON (50%); RONALD L NELSON (50%)</w:t>
      </w:r>
    </w:p>
    <w:p>
      <w:pPr>
        <w:pStyle w:val="Normal"/>
      </w:pPr>
      <w:r>
        <w:t xml:space="preserve">Geographic:  LONDON, ENGLAND (53%); LONDON, ENGLAND (53%); United States; United States</w:t>
      </w:r>
    </w:p>
    <w:p>
      <w:pPr>
        <w:pStyle w:val="Normal"/>
      </w:pPr>
      <w:r>
        <w:t xml:space="preserve">Load-Date: July 10, 2026</w:t>
      </w:r>
    </w:p>
    <w:p>
      <w:pPr>
        <w:pStyle w:val="Normal"/>
      </w:pPr>
      <w:r>
        <w:t xml:space="preserve">End of Document</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2026-10-22T20:14:54Z</dcterms:modified>
  <cp:category/>
</cp:coreProperties>
</file>