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9, 2026 Thursday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3885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[3 News That Matters]</w:t>
      </w:r>
    </w:p>
    <w:p>
      <w:pPr>
        <w:pStyle w:val="Normal"/>
      </w:pPr>
      <w:r>
        <w:t xml:space="preserve">+ GIVAUDAN S.A. LAUNCHES SCENTAURUS M13: A BREAKTHROUGH IN PET ODOR CONTROL</w:t>
      </w:r>
    </w:p>
    <w:p>
      <w:pPr>
        <w:pStyle w:val="Normal"/>
      </w:pPr>
      <w:r>
        <w:t xml:space="preserve">Givaudan S.A. has unveiled its latest innovation, the Scentaurus M13, designed to revolutionize pet odor control through advanced AI-driven fragrance detection. This sophisticated device, which hit the market recently, aims to offer both industrial and home-care formulations a new level of precision in malodor management. On 27th June 2026, Givaudan's shares (ISIN CH0010645932) saw a notable uptick as investors reacted positively to the announcement.</w:t>
      </w:r>
    </w:p>
    <w:p>
      <w:pPr>
        <w:pStyle w:val="Normal"/>
      </w:pPr>
      <w:r>
        <w:t xml:space="preserve">The Scentaurus M13 operates as an analytical instrument that quantifies malodor molecules, particularly those linked to pet and household odors. By employing real-time data from its proprietary sensors, the M13 provides formulators with insights that were previously reliant on human perception. This development is set to shorten the cycle for creating more effective cleaning and deodorizing products, enhancing Givaudan's position in the competitive home-care market.</w:t>
      </w:r>
    </w:p>
    <w:p>
      <w:pPr>
        <w:pStyle w:val="Normal"/>
      </w:pPr>
      <w:r>
        <w:t xml:space="preserve">According to Dr. Marie Dupont, the product manager, the Scentaurus platform acts like a 'trained nose with a repeat button', integrating advanced pattern-recognition algorithms with Givaudan's extensive fragrance library. This allows the M13 to detect subtle changes in malodor intensity, which human panels might miss, particularly for volatile sulfur compounds responsible for unpleasant pet odors. The data generated can be directly applied to internal performance metrics, streamlining the development process for manufacturers.</w:t>
      </w:r>
    </w:p>
    <w:p>
      <w:pPr>
        <w:pStyle w:val="Normal"/>
      </w:pPr>
      <w:r>
        <w:t xml:space="preserve">Givaudan positions this innovative technology as part of a broader initiative to enhance its pet-care product line. The sensitivity of the M13 to sulfur compounds enables brands to not only mask but genuinely neutralize common pet odors, supported by quantifiable lab results. CEO Gilles Andrier has emphasized that this data-driven approach will differentiate Givaudan from its competitors, especially as retailers increasingly demand verification for product claims.</w:t>
      </w:r>
    </w:p>
    <w:p>
      <w:pPr>
        <w:pStyle w:val="Normal"/>
      </w:pPr>
      <w:r>
        <w:t xml:space="preserve">While the Scentaurus M13 offers significant advantages in odor analysis, it is not without limitations. It complements, rather than replaces, traditional sensory panels and more complex analytical tools. Nonetheless, Givaudan's strategic move to integrate Scentaurus M13 into its operations is expected to solidify long-term partnerships with clients in the pet-care segment, fostering growth in a market that is increasingly competitive.</w:t>
      </w:r>
    </w:p>
    <w:p>
      <w:pPr>
        <w:pStyle w:val="Normal"/>
      </w:pPr>
      <w:r>
        <w:t xml:space="preserve">+ CREATIVE BIOLABS ENHANCES PHAGE LIBRARY PLATFORMS FOR BIOTHERAPEUTIC ADVANCEMENTS</w:t>
      </w:r>
    </w:p>
    <w:p>
      <w:pPr>
        <w:pStyle w:val="Normal"/>
      </w:pPr>
      <w:r>
        <w:t xml:space="preserve">SHIRLEY, NY, April 30, 2026 /24-7PressRelease/-- As demand grows for faster gene discovery and more efficient biomolecule engineering, phage technologies have become indispensable tools across modern life sciences. Creative Biolabs' newly upgraded lambda and M13 platforms offer complementary strengths that streamline the entire workflow—from genome scale exploration to high throughput functional screening.</w:t>
      </w:r>
    </w:p>
    <w:p>
      <w:pPr>
        <w:pStyle w:val="Normal"/>
      </w:pPr>
      <w:r>
        <w:t xml:space="preserve">The high-fidelity lambda phage genome libraries remain a preferred system for constructing genomic libraries due to their ability to accommodate large DNA inserts of up to 25 kb while maintaining stable genomic representation. Creative Biolabs has modernized this classical platform with advanced technologies that significantly enhance library fidelity, coverage, and long-term stability. Key upgrades include acoustic DNA shearing for highly controlled and reproducible fragmentation, optimized size-selection workflows ensuring ideal insert length distribution, and ultra-efficient in vitro packaging extracts that achieve titers exceeding 10 pfu/ g DNA.</w:t>
      </w:r>
    </w:p>
    <w:p>
      <w:pPr>
        <w:pStyle w:val="Normal"/>
      </w:pPr>
      <w:r>
        <w:t xml:space="preserve">In addition, Creative Biolabs has implemented bias-minimized protocols tailored for complex or non-model organisms. These innovations enable researchers to capture rare genomic elements and construct libraries with exceptional complexity, supporting applications such as whole-genome mapping, metagenomics, gene discovery, and functional screening.</w:t>
      </w:r>
    </w:p>
    <w:p>
      <w:pPr>
        <w:pStyle w:val="Normal"/>
      </w:pPr>
      <w:r>
        <w:t xml:space="preserve">Meanwhile, Creative Biolabs' upgraded M13 phage display platform supports the construction of ultra-diverse libraries—often reaching 10 to 10 unique variants—ideal for identifying high-affinity antibodies, peptides, and other ligands. The platform highlights include multiple display formats, including pIII monovalent and pVIII multivalent configurations, as well as Trimer Codon Technology to eliminate stop codons and ensure uniform amino acid distribution.</w:t>
      </w:r>
    </w:p>
    <w:p>
      <w:pPr>
        <w:pStyle w:val="Normal"/>
      </w:pPr>
      <w:r>
        <w:t xml:space="preserve">These capabilities make the platform a powerful engine for antibody discovery, epitope mapping, protein engineering, and diagnostic development. A spokesperson for Creative Biolabs stated, "Phage based technologies continue to shape the future of biotechnology. Our upgraded lambda and M13 platforms reflect our commitment to delivering advanced, customizable, and reliable solutions that help researchers achieve meaningful scientific breakthroughs."</w:t>
      </w:r>
    </w:p>
    <w:p>
      <w:pPr>
        <w:pStyle w:val="Normal"/>
      </w:pPr>
      <w:r>
        <w:t xml:space="preserve">+ M13'S LATIF PERACHA DISCUSSES STRATEGIC INVESTMENT IN OPENFX'S SERIES A</w:t>
      </w:r>
    </w:p>
    <w:p>
      <w:pPr>
        <w:pStyle w:val="Normal"/>
      </w:pPr>
      <w:r>
        <w:t xml:space="preserve">M13 General Partner Latif Peracha has announced the firm's decision to co-lead OpenFX's Series A funding round, emphasizing the strategic alignment and growth potential of the digital asset platform. In a statement made on 15th April 2026, Peracha expressed confidence in OpenFX's innovative approach to transforming the foreign exchange market, which has seen increasing demand for more efficient and transparent trading solutions.</w:t>
      </w:r>
    </w:p>
    <w:p>
      <w:pPr>
        <w:pStyle w:val="Normal"/>
      </w:pPr>
      <w:r>
        <w:t xml:space="preserve">Peracha highlighted that M13's involvement in OpenFX's Series A is driven by a shared vision of enhancing the trading experience for retail and institutional investors alike. The funding round aims to bolster OpenFX's technological infrastructure and expand its market reach, positioning it as a competitive player in the evolving digital finance landscape. M13's expertise in scaling technology companies provides a valuable resource for OpenFX as it embarks on this growth journey.</w:t>
      </w:r>
    </w:p>
    <w:p>
      <w:pPr>
        <w:pStyle w:val="Normal"/>
      </w:pPr>
      <w:r>
        <w:t xml:space="preserve">The partnership signifies M13's commitment to investing in disruptive technologies that reshape traditional financial markets. According to Peracha, OpenFX is well-equipped to address the challenges faced by traders, including high fees and slow transaction times. By leveraging cutting-edge technology, the platform aims to deliver a seamless trading experience that meets the demands of modern investors.</w:t>
      </w:r>
    </w:p>
    <w:p>
      <w:pPr>
        <w:pStyle w:val="Normal"/>
      </w:pPr>
      <w:r>
        <w:t xml:space="preserve">OpenFX's Series A funding is set to enhance its product offerings, with plans for new features that cater to the evolving needs of its user base. Peracha noted that M13's strategic guidance will play a crucial role in executing these plans, ultimately driving user acquisition and retention. As the digital currency ecosystem matures, partnerships like the one between M13 and OpenFX may become increasingly important in navigating the complexities of the financial landscape.</w:t>
      </w:r>
    </w:p>
    <w:p>
      <w:pPr>
        <w:pStyle w:val="Normal"/>
      </w:pPr>
      <w:r>
        <w:t xml:space="preserve">In conclusion, M13's co-leadership in OpenFX's Series A funding round underscores its dedication to fostering innovation within the financial technology sector. As both firms look forward to the future, their collaboration is poised to yield significant advancements in the foreign exchange market, offering investors new opportunities and a more efficient trading environment.</w:t>
      </w:r>
    </w:p>
    <w:p>
      <w:pPr>
        <w:pStyle w:val="Normal"/>
      </w:pPr>
      <w:r>
        <w:t xml:space="preserve">++++++++++++++++++++++++++++++++++++++++++++++++++++++++++++++++++++++++++++++++++++</w:t>
      </w:r>
    </w:p>
    <w:p>
      <w:pPr>
        <w:pStyle w:val="Normal"/>
      </w:pPr>
      <w:r>
        <w:t xml:space="preserve">+ GENERAL CATALYST [3 News That Matters]</w:t>
      </w:r>
    </w:p>
    <w:p>
      <w:pPr>
        <w:pStyle w:val="Normal"/>
      </w:pPr>
      <w:r>
        <w:t xml:space="preserve">+ JANUS HENDERSON'S TAKE-PRIVATE DEAL: A NEW ERA WITH GENERAL CATALYST</w:t>
      </w:r>
    </w:p>
    <w:p>
      <w:pPr>
        <w:pStyle w:val="Normal"/>
      </w:pPr>
      <w:r>
        <w:t xml:space="preserve">Janus Henderson Group Ltd. has successfully completed its take-private transaction with Trian Fund Management, General Catalyst Group Management, and Qatar Investment Authority. The conclusion of this deal, which was finalized on the 30th of June, 2026, marks a significant shift for Janus Henderson, as its public shares have been converted into cash at a rate of $52.00 per share and delisted from the New York Stock Exchange.</w:t>
      </w:r>
    </w:p>
    <w:p>
      <w:pPr>
        <w:pStyle w:val="Normal"/>
      </w:pPr>
      <w:r>
        <w:t xml:space="preserve">This transition to a private company aims to enhance the client experience through long-term investments in various areas including investment solutions, technology, and talent development. Janus Henderson will continue to operate under the leadership of its current management team, with Ali Dibadj at the helm as Chief Executive Officer. The firm maintains its operational bases in London and Denver, signaling a commitment to its established presence in key financial markets.</w:t>
      </w:r>
    </w:p>
    <w:p>
      <w:pPr>
        <w:pStyle w:val="Normal"/>
      </w:pPr>
      <w:r>
        <w:t xml:space="preserve">Ali Dibadj expressed enthusiasm about the new chapter for Janus Henderson, highlighting the firm's dedication to delivering exceptional services and insights to clients. He emphasized the transformative opportunities that lie ahead in partnership with Trian and General Catalyst, aiming to elevate the firm's legacy in asset management. Trian’s CEO, Nelson Peltz, echoed this sentiment, noting the impressive strides Janus Henderson has made since Trian's initial investment in 2020.</w:t>
      </w:r>
    </w:p>
    <w:p>
      <w:pPr>
        <w:pStyle w:val="Normal"/>
      </w:pPr>
      <w:r>
        <w:t xml:space="preserve">General Catalyst's CEO, Hemant Taneja, also remarked on the collaboration, stating their commitment to enhancing Janus Henderson's technological capabilities and overall growth strategy. The strategic partnership is expected to unlock new standards within the asset management industry, leveraging the combined expertise of all parties involved.</w:t>
      </w:r>
    </w:p>
    <w:p>
      <w:pPr>
        <w:pStyle w:val="Normal"/>
      </w:pPr>
      <w:r>
        <w:t xml:space="preserve">The transaction was supported by a robust investor group, which includes notable global investors such as MassMutual and Sun Hung Kai &amp; Co. Legal and financial advisement for the transaction was provided by leading firms across the industry, underscoring the significance of this deal for Janus Henderson and its stakeholders. As a result of this privatization, Janus Henderson is poised to strengthen its position in the competitive landscape of asset management.</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w:t>
      </w:r>
    </w:p>
    <w:p>
      <w:pPr>
        <w:pStyle w:val="Normal"/>
      </w:pPr>
      <w:r>
        <w:t xml:space="preserve">+ LIGHTSPEED VENTURE PARTNERS [3 News That Matters]</w:t>
      </w:r>
    </w:p>
    <w:p>
      <w:pPr>
        <w:pStyle w:val="Normal"/>
      </w:pPr>
      <w:r>
        <w:t xml:space="preserve">+ LIGHTSPEED VENTURE PARTNERS DIVESTS $15.1 MILLION IN NETSKOPE SHARES</w:t>
      </w:r>
    </w:p>
    <w:p>
      <w:pPr>
        <w:pStyle w:val="Normal"/>
      </w:pPr>
      <w:r>
        <w:t xml:space="preserve">MENLO PARK – Lightspeed Opportunity Fund, L.P., an entity associated with Lightspeed Venture Partners, reported the sale of Netskope Inc. (NASDAQ:NTSK) Class A common stock totaling approximately $15.1 million, according to a recent SEC filing. The date of these transactions was 12th June 2026 and 15th June 2026, as Netskope shares traded at $8.95, down roughly 60% over the past year and near its 52-week low of $7.67.</w:t>
      </w:r>
    </w:p>
    <w:p>
      <w:pPr>
        <w:pStyle w:val="Normal"/>
      </w:pPr>
      <w:r>
        <w:t xml:space="preserve">On 12th June 2026, Lightspeed Opportunity Fund, L.P. converted 1,650,000 shares of Class B common stock into Class A common stock for no additional consideration. Following this conversion, the fund sold 1,313,827 shares of Netskope Class A common stock at a weighted average price of $9.19 per share. Two days later, on 15th June 2026, Lightspeed Opportunity Fund, L.P. sold an additional 336,173 shares of Class A common stock at a weighted average price of $9.00 per share. The total value of these sales amounted to $15,099,627, with the weighted average prices for the transactions ranging between $9.00 and $9.19. Following these sales, Lightspeed Opportunity Fund, L.P. holds no Class A common stock.</w:t>
      </w:r>
    </w:p>
    <w:p>
      <w:pPr>
        <w:pStyle w:val="Normal"/>
      </w:pPr>
      <w:r>
        <w:t xml:space="preserve">While Lightspeed Opportunity Fund, L.P. has divested its Class A common stock, several other Lightspeed entities continue to hold significant amounts of Netskope Class B common stock. These Class B shares are convertible into Class A common stock on a one-for-one basis at the option of the holder or automatically on 19th September 2035. As of 12th June 2026, these and other related Lightspeed entities collectively held 62,843,207 shares of Class B common stock, representing potential Class A shares.</w:t>
      </w:r>
    </w:p>
    <w:p>
      <w:pPr>
        <w:pStyle w:val="Normal"/>
      </w:pPr>
      <w:r>
        <w:t xml:space="preserve">In other recent developments, Netskope reported annual recurring revenue (ARR) of $845 million, reflecting a 29% year-over-year increase, which met general market expectations but fell short of some analysts’ estimates. The company’s total revenue reached approximately $202 million, marking a 28% year-over-year growth and slightly surpassing market forecasts. Despite these figures, several financial firms have adjusted their price targets for Netskope, with TD Cowen reducing its target from $25 to $19 while maintaining a Buy rating, citing the ARR miss and the exit of the CFO as influencing factors.</w:t>
      </w:r>
    </w:p>
    <w:p>
      <w:pPr>
        <w:pStyle w:val="Normal"/>
      </w:pPr>
      <w:r>
        <w:t xml:space="preserve">BMO Capital and RBC Capital both lowered their targets to $13, maintaining an Outperform rating, with concerns about the company’s ARR growth and market competition. Piper Sandler decreased its target to $18, noting strong new logo ARR growth and traction with new AI products but highlighting challenges with sales force productivity. Mizuho also cut its target to $13, acknowledging the modest revenue beat but pointing out it was the smallest upside since Netskope became a public company. These developments illustrate the varied analyst perspectives on Netskope’s recent performance.</w:t>
      </w:r>
    </w:p>
    <w:p>
      <w:pPr>
        <w:pStyle w:val="Normal"/>
      </w:pPr>
      <w:r>
        <w:t xml:space="preserve">+ LIGHTSPEED VENTURES EXPANDS MARKETING LEADERSHIP WITH ROHIT KAUL'S APPOINTMENT</w:t>
      </w:r>
    </w:p>
    <w:p>
      <w:pPr>
        <w:pStyle w:val="Normal"/>
      </w:pPr>
      <w:r>
        <w:t xml:space="preserve">Lightspeed Venture Partners is set to bolster its marketing leadership team with the appointment of Rohit Kaul as the new marketing head. This development comes as the firm prepares to raise its fifth India and Southeast Asia-focused fund, reportedly targeting around $500 million. The hiring of Kaul follows the recent exit of former VP of Marketing and Communications, Mansi Chugh, who departed after nearly four years in her role.</w:t>
      </w:r>
    </w:p>
    <w:p>
      <w:pPr>
        <w:pStyle w:val="Normal"/>
      </w:pPr>
      <w:r>
        <w:t xml:space="preserve">Rohit Kaul was previously the Vice President of Marketing at Blume Ventures, a position he held since February 2023. His experience also includes pivotal roles at Sacra and HCL, providing him with a robust background that Lightspeed believes will enhance its marketing strategy. The appointment comes at a pivotal moment for Lightspeed as the venture capital firm intensifies its investment focus in the Indian and Southeast Asian markets, which are currently facing a slowdown in startup funding and pressure on portfolio performance.</w:t>
      </w:r>
    </w:p>
    <w:p>
      <w:pPr>
        <w:pStyle w:val="Normal"/>
      </w:pPr>
      <w:r>
        <w:t xml:space="preserve">In recent years, Lightspeed has established itself as one of the most prominent investors in India's startup ecosystem, backing notable companies such as OYO, Udaan, ShareChat, PhysicsWallah, and Pocket FM. The firm’s proactive approach to securing talent is evident, especially in light of multiple senior-level changes within its communications and marketing functions. Previously, Carina Chopra stepped down after a three-and-a-half-year tenure, signaling a shift in the firm's marketing strategy.</w:t>
      </w:r>
    </w:p>
    <w:p>
      <w:pPr>
        <w:pStyle w:val="Normal"/>
      </w:pPr>
      <w:r>
        <w:t xml:space="preserve">The strategic hire of Rohit Kaul is aimed at navigating the current challenges in the startup landscape while enhancing Lightspeed's brand presence and outreach. As the firm looks to bolster its marketing efforts, Kaul’s extensive experience in the venture capital space is expected to play a crucial role in driving forward Lightspeed's initiatives in India and Southeast Asia.</w:t>
      </w:r>
    </w:p>
    <w:p>
      <w:pPr>
        <w:pStyle w:val="Normal"/>
      </w:pPr>
      <w:r>
        <w:t xml:space="preserve">While queries directed to both Kaul and Lightspeed Venture Partners did not elicit responses prior to publication, the firm’s ongoing recruitment efforts suggest a commitment to strengthening its operational frameworks. As Lightspeed prepares for its upcoming fundraising endeavors, the addition of Kaul to its leadership team may enhance its competitive edge in an increasingly challenging investment environment.</w:t>
      </w:r>
    </w:p>
    <w:p>
      <w:pPr>
        <w:pStyle w:val="Normal"/>
      </w:pPr>
      <w:r>
        <w:t xml:space="preserve">+ LIGHTSPEED VENTURE PARTNERS FUELS GROWTH IN AGENT EVALUATION STARTUP</w:t>
      </w:r>
    </w:p>
    <w:p>
      <w:pPr>
        <w:pStyle w:val="Normal"/>
      </w:pPr>
      <w:r>
        <w:t xml:space="preserve">In a significant move underscoring its confidence in the burgeoning agent evaluation sector, Lightspeed Venture Partners has participated in consecutive funding rounds for a promising startup specializing in this space. 13th May 2026 marks the date when this strategic investment was publicly acknowledged, reflecting Lightspeed's commitment to nurturing innovative solutions that address inefficiencies in agent performance assessments.</w:t>
      </w:r>
    </w:p>
    <w:p>
      <w:pPr>
        <w:pStyle w:val="Normal"/>
      </w:pPr>
      <w:r>
        <w:t xml:space="preserve">The agent evaluation startup, which has developed a unique platform to streamline and enhance the agent assessment process, has attracted considerable attention from investors eager to capitalize on its potential. Lightspeed's back-to-back funding rounds are indicative of a broader trend where venture capital firms are increasingly looking for opportunities in sectors that leverage technology to improve traditional business operations.</w:t>
      </w:r>
    </w:p>
    <w:p>
      <w:pPr>
        <w:pStyle w:val="Normal"/>
      </w:pPr>
      <w:r>
        <w:t xml:space="preserve">This latest funding will enable the startup to expand its product offerings and enhance its technological capabilities. Lightspeed Venture Partners, known for its keen eye for disruptive technology, is betting that the growing demand for efficient evaluation tools will lead to significant market opportunities. The startup's innovative approach has already garnered interest from major players in various industries, suggesting a robust pipeline of future clients.</w:t>
      </w:r>
    </w:p>
    <w:p>
      <w:pPr>
        <w:pStyle w:val="Normal"/>
      </w:pPr>
      <w:r>
        <w:t xml:space="preserve">In addition to scaling its operations, the startup plans to invest in marketing strategies aimed at increasing brand awareness and establishing its presence in a competitive market. As the landscape for agent evaluations evolves, Lightspeed's ongoing support will be crucial in helping the company navigate challenges and seize new opportunities for growth.</w:t>
      </w:r>
    </w:p>
    <w:p>
      <w:pPr>
        <w:pStyle w:val="Normal"/>
      </w:pPr>
      <w:r>
        <w:t xml:space="preserve">Overall, Lightspeed Venture Partners' involvement in this agent evaluation startup highlights its strategy of identifying and backing companies that demonstrate strong growth potential within niche markets. Investors are advised to monitor this space closely, as advancements in technology continue to reshape traditional business practices and create new avenues for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ARTIFICIAL INTELLIGENCE (90%);  FINANCING ROUNDS (90%);  BUSINESS REPORTS &amp; FORECASTS (90%);  INNOVATION (90%);  SOFTWARE SERVICES &amp; APPLICATIONS (90%);  FINANCIAL MARKET UPDATES (90%);  TECHNOLOGICAL INNOVATION (89%);  TECHNOLOGY (89%);  OUTPUT &amp; DEMAND (78%);  RETAIL &amp; WHOLESALE TRADE (78%);  MANUFACTURING (78%);  ALLIANCES &amp; PARTNERSHIPS (77%);  CHEMICALS (77%);  COMPUTER SOFTWARE (77%);  SOFTWARE MAKERS (77%);  BUSINESS METRICS (77%);  PRODUCT MANAGEMENT (76%);  PRODUCT INNOVATION (75%);  RETAIL MERCHANDISE MANAGEMENT (73%);  MANAGERS &amp; SUPERVISORS (72%);  EXECUTIVES (69%);  COURTSHIP &amp; DATING (69%);  PATTERN RECOGNITION (69%);  CUSTOMER RELATIONS (68%);  PETS (66%);  CUSTOMER EXPERIENCE (53%); CUSTOMER RELATIONS (69%); PRODUCT INNOVATION (76%); TECHNOLOGY (89%); COURTSHIP &amp; DATING (69%); OUTPUT &amp; DEMAND (76%); BUSINESS REPORTS &amp; FORECASTS (90%); INNOVATION (90%); TECHNOLOGICAL INNOVATION (89%); FINANCING ROUNDS (90%); FINANCIAL MARKET UPDATES (90%); EXECUTIVES (70%); PRODUCT MANAGEMENT (76%); VENTURE CAPITAL (90%); CUSTOMER EXPERIENCE (54%); ARTIFICIAL INTELLIGENCE (90%); ALLIANCES &amp; PARTNERSHIPS (78%); MANAGERS &amp; SUPERVISORS (72%); PETS (67%); BUSINESS METRICS (78%)</w:t>
      </w:r>
    </w:p>
    <w:p>
      <w:pPr>
        <w:pStyle w:val="Normal"/>
      </w:pPr>
      <w:r>
        <w:t xml:space="preserve">Company:  GIVAUDAN SA (94%);  STACK INFRASTRUCTURE INC (72%); M13</w:t>
      </w:r>
    </w:p>
    <w:p>
      <w:pPr>
        <w:pStyle w:val="Normal"/>
      </w:pPr>
      <w:r>
        <w:t xml:space="preserve">Ticker: GIVN (SWX) (94%); M13</w:t>
      </w:r>
    </w:p>
    <w:p>
      <w:pPr>
        <w:pStyle w:val="Normal"/>
      </w:pPr>
      <w:r>
        <w:t xml:space="preserve">Industry: NAICS325620 TOILET PREPARATION MANUFACTURING (94%); SIC2869 INDUSTRIAL ORGANIC CHEMICALS, NEC (94%); NAICS531210 OFFICES OF REAL ESTATE AGENTS &amp; BROKERS (72%); NAICS518210 COMPUTING INFRASTRUCTURE PROVIDERS, DATA PROCESSING, WEB HOSTING, AND RELATED SERVICES (72%); SIC7374 COMPUTER PROCESSING &amp; DATA PREPARATION &amp; PROCESSING SERVICES (72%); SIC6531 REAL ESTATE AGENTS &amp; MANAGERS (72%); CHEMICALS (77%); COMPUTER SOFTWARE (90%); SOFTWARE MAKERS (89%); FINANCIAL MARKET UPDATES (90%); PATTERN RECOGNITION (70%); RETAIL MERCHANDISE MANAGEMENT (74%); VENTURE CAPITAL (90%); SOFTWARE SERVICES &amp; APPLICATIONS (93%); MANUFACTURING (78%); ARTIFICIAL INTELLIGENCE (90%); RETAIL &amp; WHOLESALE TRADE (77%); CHEMICALS OVERVIEW (77%); 523910 (%)</w:t>
      </w:r>
    </w:p>
    <w:p>
      <w:pPr>
        <w:pStyle w:val="Normal"/>
      </w:pPr>
      <w:r>
        <w:t xml:space="preserve">Geographic: United States; United States</w:t>
      </w:r>
    </w:p>
    <w:p>
      <w:pPr>
        <w:pStyle w:val="Normal"/>
      </w:pPr>
      <w:r>
        <w:t xml:space="preserve">Load-Date: July 9,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2026-10-22T20:14:59Z</dcterms:modified>
  <cp:category/>
</cp:coreProperties>
</file>