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10, 2026 Friday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2244 words</w:t>
      </w:r>
    </w:p>
    <w:p>
      <w:pPr>
        <w:pStyle w:val="Normal"/>
      </w:pPr>
      <w:r>
        <w:t xml:space="preserve">Body</w:t>
      </w:r>
    </w:p>
    <w:p>
      <w:pPr>
        <w:pStyle w:val="Normal"/>
      </w:pPr>
      <w:r>
        <w:t xml:space="preserve">DASHBOARD: WNDRCO </w:t>
      </w:r>
    </w:p>
    <w:p>
      <w:pPr>
        <w:pStyle w:val="Normal"/>
      </w:pPr>
      <w:r>
        <w:t xml:space="preserve">*| PermID | 5053437072 | </w:t>
      </w:r>
    </w:p>
    <w:p>
      <w:pPr>
        <w:pStyle w:val="Normal"/>
      </w:pPr>
      <w:r>
        <w:t xml:space="preserve">*| Website | / | </w:t>
      </w:r>
    </w:p>
    <w:p>
      <w:pPr>
        <w:pStyle w:val="Normal"/>
      </w:pPr>
      <w:r>
        <w:t xml:space="preserve">*| Industry | Holding Company - Investments | </w:t>
      </w:r>
    </w:p>
    <w:p>
      <w:pPr>
        <w:pStyle w:val="Normal"/>
      </w:pPr>
      <w:r>
        <w:t xml:space="preserve">ACTIVITIES:</w:t>
      </w:r>
    </w:p>
    <w:p>
      <w:pPr>
        <w:pStyle w:val="Normal"/>
      </w:pPr>
      <w:r>
        <w:t xml:space="preserve">WndrCo, founded in 2017 by entrepreneur Jeffrey Katzenberg and former Disney executive David Ellison, is a Los Angeles-based holding company dedicated to acquiring control stakes in underappreciated technology firms and investing in innovative startups to accelerate their growth into market leaders. Its core business activities encompass strategic investments, operational enhancements, and scaling support across consumer and enterprise technology sectors, with a focus on lead institutional funding in post-product-market-fit rounds and seed-stage opportunities for next-generation entrepreneurs. Notable portfolio companies include Aura, offering comprehensive identity and financial protection services; Writer, an enterprise AI writing assistant; and Yassir, a leading ride-hailing and delivery platform in the Middle East and Africa. Among its fastest-growing segments, online security solutions-exemplified by Aura and Point Wild''s portfolio of protective brands-stand out for surging demand amid rising cyber threats, while enterprise AI tools like Writer are rapidly expanding, capitalizing on the global shift toward generative technologies and automation. Through these initiatives, WndrCo drives transformative value, fostering innovation and market dominance in high-potential domains.</w:t>
      </w:r>
    </w:p>
    <w:p>
      <w:pPr>
        <w:pStyle w:val="Normal"/>
      </w:pPr>
      <w:r>
        <w:t xml:space="preserve">+   WNDRCO [2 News That Matters]</w:t>
      </w:r>
    </w:p>
    <w:p>
      <w:pPr>
        <w:pStyle w:val="Normal"/>
      </w:pPr>
      <w:r>
        <w:t xml:space="preserve">+   IDILIO SECURES $5.5M SEED BACKING FROM WNDRCO TO ACCELERATE LATIN AMERICAN MICRODRAMA</w:t>
      </w:r>
    </w:p>
    <w:p>
      <w:pPr>
        <w:pStyle w:val="Normal"/>
      </w:pPr>
      <w:r>
        <w:t xml:space="preserve">WndrCo led a $5.5 million seed round for Idilio, a Latin American microdrama platform, with the announcement coming on 4th June 2026. The investment underscores WndrCo's ongoing interest in tech driven entertainment ventures that blend storytelling with scalable software. </w:t>
      </w:r>
    </w:p>
    <w:p>
      <w:pPr>
        <w:pStyle w:val="Normal"/>
      </w:pPr>
      <w:r>
        <w:t xml:space="preserve">Idilio was co-founded by Gabriela Tafur and Esteban Ramirez and is positioned at the intersection of traditional telenovelas and vertical video formats, powered by an AI engine designed to reduce production costs and timelines. </w:t>
      </w:r>
    </w:p>
    <w:p>
      <w:pPr>
        <w:pStyle w:val="Normal"/>
      </w:pPr>
      <w:r>
        <w:t xml:space="preserve">Since its launch five months ago, the platform has achieved 1.5 million downloads in 93 countries and streamed 40 million episodes. Users are reportedly watching about 50 minutes of Idilio content per day, a level of engagement that stands out in the mobile video space. </w:t>
      </w:r>
    </w:p>
    <w:p>
      <w:pPr>
        <w:pStyle w:val="Normal"/>
      </w:pPr>
      <w:r>
        <w:t xml:space="preserve">Idilio Creators will enable creators to monetize directly on the platform, with 100% of profits going to the creators. The program aims to nurture a Latin American content community that can compete with global players by delivering localized stories. </w:t>
      </w:r>
    </w:p>
    <w:p>
      <w:pPr>
        <w:pStyle w:val="Normal"/>
      </w:pPr>
      <w:r>
        <w:t xml:space="preserve">In addition to WndrCo, the round drew participation from investors such as a16z Speedrun, Goodwater Capital, Precursor Ventures, and fintech executive David Velez, alongside other backers. The backing positions Idilio to scale its AI driven production model across the region.</w:t>
      </w:r>
    </w:p>
    <w:p>
      <w:pPr>
        <w:pStyle w:val="Normal"/>
      </w:pPr>
      <w:r>
        <w:t xml:space="preserve">+   ACCENTURE VENTURES LEADS $110M INVESTMENT IN NETOMI TO ADVANCE ENTERPRISE AGENTIC CX</w:t>
      </w:r>
    </w:p>
    <w:p>
      <w:pPr>
        <w:pStyle w:val="Normal"/>
      </w:pPr>
      <w:r>
        <w:t xml:space="preserve">San Francisco-based Netomi today announced a $110 million funding round led by Accenture Ventures, with additional investments from Adobe Ventures, WndrCo, SLW, NAVER Ventures, Metis Strategy and Fin Capital. The round, disclosed on 6th May 2026, solidifies Netomi’s position as a leading enterprise-grade agentic CX platform with a focus on reliability in mission-critical environments.\n\nThe funding will be used to scale the deployment of AI across digital experiences in multiple industries. Notable clients such as Delta Air Lines, United Airlines, MetLife and Paramount are already using Netomi for chat, email and voice, including its integration within the United Airlines mobile app.\n\nBeyond funding, Accenture has formed a global alliance with Netomi to develop a playbook for enterprise agentic CX deployment, helping Accenture’s clients adopt Netomi’s technology with greater empathy, consistency and intelligence. As Ndidi Oteh, CEO of Accenture Song, notes, \"Netomi's platform strengthens the connection between people and the brands they trust.\"\n\nOpenAI’s case study cited by Netomi highlights its flawless track record deploying agentic systems at scale without failures or regulatory breaches, underscoring its reliability. The investment reflects a wider industry trend toward reliable, production-grade AI in customer experience, aimed at reducing operational complexity and delivering seamless, outcome-driven interactions.\n\nWith a robust client roster and strategic partnerships, Netomi is positioned to redefine enterprise customer engagement in the coming years.</w:t>
      </w:r>
    </w:p>
    <w:p>
      <w:pPr>
        <w:pStyle w:val="Normal"/>
      </w:pPr>
      <w:r>
        <w:t xml:space="preserve">++++++++++++++++++++++++++++++++++++++++++++++++++++++++++++++++++++++++++++++++++++</w:t>
      </w:r>
    </w:p>
    <w:p>
      <w:pPr>
        <w:pStyle w:val="Normal"/>
      </w:pPr>
      <w:r>
        <w:t xml:space="preserve">+   GENERAL CATALYST [3 News That Matters]</w:t>
      </w:r>
    </w:p>
    <w:p>
      <w:pPr>
        <w:pStyle w:val="Normal"/>
      </w:pPr>
      <w:r>
        <w:t xml:space="preserve">+   JANUS HENDERSON GOES PRIVATE WITH NEW INVESTOR ALLIANCE, LED BY CEO DIBADJ</w:t>
      </w:r>
    </w:p>
    <w:p>
      <w:pPr>
        <w:pStyle w:val="Normal"/>
      </w:pPr>
      <w:r>
        <w:t xml:space="preserve">Janus Henderson Group Ltd. has concluded its take-private transaction with a consortium including Trian Fund Management, General Catalyst Group Management, and the Qatar Investment Authority. The deal, finalized on the 30th of June, 2026, sees the company’s public shares converted into cash at $52.00 per share and the shares delisted from the New York Stock Exchange.</w:t>
      </w:r>
    </w:p>
    <w:p>
      <w:pPr>
        <w:pStyle w:val="Normal"/>
      </w:pPr>
      <w:r>
        <w:t xml:space="preserve">The privatization is designed to sharpen the firm’s focus on the client experience through long-term investments in investment solutions, technology, and talent development. Ali Dibadj will continue as chief executive, and the business will operate from its London and Denver bases as it enters a private phase.</w:t>
      </w:r>
    </w:p>
    <w:p>
      <w:pPr>
        <w:pStyle w:val="Normal"/>
      </w:pPr>
      <w:r>
        <w:t xml:space="preserve">The arrangement brings together activist investor Trian, General Catalyst, and state-backed partners, aiming to bolster the firm’s asset-management capabilities and growth trajectory. The leadership expects to leverage the combined expertise to accelerate technology adoption and enhance product offerings for clients.</w:t>
      </w:r>
    </w:p>
    <w:p>
      <w:pPr>
        <w:pStyle w:val="Normal"/>
      </w:pPr>
      <w:r>
        <w:t xml:space="preserve">The transaction was supported by a broad investor group that includes MassMutual and Sun Hung Kai &amp; Co., with law firms and financial advisers guiding the privatization. The move positions Janus Henderson to compete more effectively in the evolving asset-management landscape.</w:t>
      </w:r>
    </w:p>
    <w:p>
      <w:pPr>
        <w:pStyle w:val="Normal"/>
      </w:pPr>
      <w:r>
        <w:t xml:space="preserve">+   INDIA QUOTIENT AND GENERAL CATALYST BACK OMLI'S SEED ROUND FOR CHILD-FOCUSED AI SPEECH TECHNOLOGY</w:t>
      </w:r>
    </w:p>
    <w:p>
      <w:pPr>
        <w:pStyle w:val="Normal"/>
      </w:pPr>
      <w:r>
        <w:t xml:space="preserve">Gurugram-based Omli has closed a seed round totaling $1.5 million, led by India Quotient with participation from General Catalyst, the company announced on June 17, 2026. The funding will back Omli's work on AI infrastructure for children's speech and language development.</w:t>
      </w:r>
    </w:p>
    <w:p>
      <w:pPr>
        <w:pStyle w:val="Normal"/>
      </w:pPr>
      <w:r>
        <w:t xml:space="preserve">Founders say most existing speech models are trained on adult voices, creating gaps when interacting with children whose speech patterns differ in tone and pace.</w:t>
      </w:r>
    </w:p>
    <w:p>
      <w:pPr>
        <w:pStyle w:val="Normal"/>
      </w:pPr>
      <w:r>
        <w:t xml:space="preserve">Omli's flagship OmliKids product lets children aged three to ten converse with an AI companion named Doro, positioning the app as a conversational platform rather than a game-based experience. The product has already crossed 500,000 downloads on Google Play within a few months of launch.</w:t>
      </w:r>
    </w:p>
    <w:p>
      <w:pPr>
        <w:pStyle w:val="Normal"/>
      </w:pPr>
      <w:r>
        <w:t xml:space="preserve">To address the shortcomings of existing models, Omli has developed VedAnsh-v1, a speech-to-text and voice activity detection system tailored for children's voices. In tests with kid speech, the VedAnsh-v1 engine delivered lower word error rates than many commercial systems. Co-founder Siddhant Garg says the team aims to reach adult-grade accuracy for children's speech, including support for Indian accents and vernacular languages.</w:t>
      </w:r>
    </w:p>
    <w:p>
      <w:pPr>
        <w:pStyle w:val="Normal"/>
      </w:pPr>
      <w:r>
        <w:t xml:space="preserve">With about 15 employees, Omli is working on the next generation of its speech model and plans to extend into conversational intelligence that adapts in real time to a child's speaking pace and communication style. The startup also intends to develop screening tools to help parents and educators identify articulation challenges early. Shivam Munshi notes that many children today are silent on screens, underscoring the need for technology that encourages verbal interaction. Investors see potential in this underserved market, with India Quotient partner Madhukar describing children as the largest consumer segment for which AI solutions are still lacking.</w:t>
      </w:r>
    </w:p>
    <w:p>
      <w:pPr>
        <w:pStyle w:val="Normal"/>
      </w:pPr>
      <w:r>
        <w:t xml:space="preserve">+   RYLO LANDS $85 MILLION GROWTH INVESTMENT LED BY GENERAL CATALYST, FUELING EXPANSION BEYOND $100 MILLION IN FUNDING</w:t>
      </w:r>
    </w:p>
    <w:p>
      <w:pPr>
        <w:pStyle w:val="Normal"/>
      </w:pPr>
      <w:r>
        <w:t xml:space="preserve">Rylo, formerly known as Nagish, has secured $85 million in growth funding in a round led by General Catalyst's Customer Value Fund, with participation from Canaan, Vertex Ventures, and Contour. The investment lifts total funding beyond $100 million and signals strong appetite for AI-powered accessibility solutions.</w:t>
      </w:r>
    </w:p>
    <w:p>
      <w:pPr>
        <w:pStyle w:val="Normal"/>
      </w:pPr>
      <w:r>
        <w:t xml:space="preserve">Based in Tel Aviv and New York, Rylo builds an AI-enabled communication platform designed to improve accessibility for Deaf and hard-of-hearing individuals. Its tools provide real-time captioning for phone calls, rapid speech-to-text conversion, text-to-speech capabilities, and in-person transcription, enabling smoother interactions across personal, professional, and public settings.</w:t>
      </w:r>
    </w:p>
    <w:p>
      <w:pPr>
        <w:pStyle w:val="Normal"/>
      </w:pPr>
      <w:r>
        <w:t xml:space="preserve">Rylo has broadened its product ecosystem through innovation and acquisitions, most notably acquiring Sign.mt in 2025 and launching Rylo Sign for real-time translation between spoken and sign languages. The platform also integrates speaker recognition, sentiment analysis, and fraud detection to enhance usability and accuracy across channels.</w:t>
      </w:r>
    </w:p>
    <w:p>
      <w:pPr>
        <w:pStyle w:val="Normal"/>
      </w:pPr>
      <w:r>
        <w:t xml:space="preserve">Investors view Rylo as a strong player in the fast-growing accessibility tech sector, addressing a long-standing market need by leveraging AI to deliver scalable, cost-effective communication solutions. With regulations evolving and digital communication increasing in importance, demand for barrier-free tools is rising worldwide.</w:t>
      </w:r>
    </w:p>
    <w:p>
      <w:pPr>
        <w:pStyle w:val="Normal"/>
      </w:pPr>
      <w:r>
        <w:t xml:space="preserve">The fresh capital will support expansion of engineering, product development, and commercial operations, while enabling further AI research and infrastructure development and the deployment of new workplace accessibility solutions. Rylo plans to refine its AI models, broaden its toolset, and pursue a long-term strategy of global expansion and wider adoption among individuals and enterprise users.</w:t>
      </w:r>
    </w:p>
    <w:p>
      <w:pPr>
        <w:pStyle w:val="Normal"/>
      </w:pPr>
      <w:r>
        <w:t xml:space="preserve">++++++++++++++++++++++++++++++++++++++++++++++++++++++++++++++++++++++++++++++++++++</w:t>
      </w:r>
    </w:p>
    <w:p>
      <w:pPr>
        <w:pStyle w:val="Normal"/>
      </w:pPr>
      <w:r>
        <w:t xml:space="preserve">+   ANDREESSEN HOROWITZ [3 News That Matters]</w:t>
      </w:r>
    </w:p>
    <w:p>
      <w:pPr>
        <w:pStyle w:val="Normal"/>
      </w:pPr>
      <w:r>
        <w:t xml:space="preserve">+   ANDREESSEN HOROWITZ TAKES LEAD IN SWITCH'S $2 BILLION PRIVATE FINANCING</w:t>
      </w:r>
    </w:p>
    <w:p>
      <w:pPr>
        <w:pStyle w:val="Normal"/>
      </w:pPr>
      <w:r>
        <w:t xml:space="preserve">Switch is pursuing a private financing round targeting roughly $2 billion, with Andreessen Horowitz (A16Z) leading the effort. The plan, announced on 3 July 2026, seeks to propel Switch into an elite club of startups that have completed ten-figure rounds in a single raise. </w:t>
      </w:r>
    </w:p>
    <w:p>
      <w:pPr>
        <w:pStyle w:val="Normal"/>
      </w:pPr>
      <w:r>
        <w:t xml:space="preserve">Specific valuation and product scope remain undisclosed as talks progress. The high-profile backer signals investor confidence in Switch's strategic vision and aligns with A16Z's tendency to back companies pursuing major advances in artificial intelligence and related platforms. </w:t>
      </w:r>
    </w:p>
    <w:p>
      <w:pPr>
        <w:pStyle w:val="Normal"/>
      </w:pPr>
      <w:r>
        <w:t xml:space="preserve">A16Z's recent activity provides a window into potential dynamics for Switch. The firm co-led a $2B round for Cursor, an AI coding startup built by Anysphere, with Nvidia and Thrive Capital; Cursor's valuation has surpassed $50B. The same firm also backed the record-setting $2B seed for Thinking Machines Lab. </w:t>
      </w:r>
    </w:p>
    <w:p>
      <w:pPr>
        <w:pStyle w:val="Normal"/>
      </w:pPr>
      <w:r>
        <w:t xml:space="preserve">The outcome could shape the tech landscape, depending on how Switch deploys the capital to speed product development, hiring, and partnerships.</w:t>
      </w:r>
    </w:p>
    <w:p>
      <w:pPr>
        <w:pStyle w:val="Normal"/>
      </w:pPr>
      <w:r>
        <w:t xml:space="preserve">+   ANDREESSEN HOROWITZ LEADS PILLAR SEED FINANCING OF $20 MILLION, BACKING FINANCIAL RISK PLATFORM</w:t>
      </w:r>
    </w:p>
    <w:p>
      <w:pPr>
        <w:pStyle w:val="Normal"/>
      </w:pPr>
      <w:r>
        <w:t xml:space="preserve">Pillar, a financial risk management platform founded by Harsha Ramesh and Chinmay Deshpande, raised $20 million in a seed round led by Andreessen Horowitz, with participation from Dara Khosrowshahi, Crucible Capital, and Gallery Ventures.</w:t>
      </w:r>
    </w:p>
    <w:p>
      <w:pPr>
        <w:pStyle w:val="Normal"/>
      </w:pPr>
      <w:r>
        <w:t xml:space="preserve">The deal signals strong appetite for enterprise-grade risk tools as firms operate across currencies and tightening regulatory regimes.</w:t>
      </w:r>
    </w:p>
    <w:p>
      <w:pPr>
        <w:pStyle w:val="Normal"/>
      </w:pPr>
      <w:r>
        <w:t xml:space="preserve">Pillar’s approach addresses the long-standing pain points of risk management, replacing spreadsheets, legacy systems, and ad hoc tooling with an integrated platform that supports treasury operations including exposure hedging and regulatory compliance.</w:t>
      </w:r>
    </w:p>
    <w:p>
      <w:pPr>
        <w:pStyle w:val="Normal"/>
      </w:pPr>
      <w:r>
        <w:t xml:space="preserve">The round aligns with Andreessen Horowitz’s strategy of backing foundational software that underpins modern business infrastructure, and the involvement of Khosrowshahi lends credibility given his global financial operations experience.</w:t>
      </w:r>
    </w:p>
    <w:p>
      <w:pPr>
        <w:pStyle w:val="Normal"/>
      </w:pPr>
      <w:r>
        <w:t xml:space="preserve">With the fresh capital, Pillar plans to accelerate product development and drum up early customer adoption, aiming to differentiate from high-cost enterprise solutions while offering API-driven options for mid-market companies.</w:t>
      </w:r>
    </w:p>
    <w:p>
      <w:pPr>
        <w:pStyle w:val="Normal"/>
      </w:pPr>
      <w:r>
        <w:t xml:space="preserve">+   PROSPER AI RAISES $30 MILLION TO AUTOMATE SCHEDULING, BILLING AND REIMBURSEMENTS IN HEALTHCARE</w:t>
      </w:r>
    </w:p>
    <w:p>
      <w:pPr>
        <w:pStyle w:val="Normal"/>
      </w:pPr>
      <w:r>
        <w:t xml:space="preserve">Prosper AI has closed a $30 million Series A led by Andreessen Horowitz, signaling strong investor confidence as the startup scales its platform for healthcare administration.</w:t>
      </w:r>
    </w:p>
    <w:p>
      <w:pPr>
        <w:pStyle w:val="Normal"/>
      </w:pPr>
      <w:r>
        <w:t xml:space="preserve">The company notes that revenue has expanded fivefold and the platform now handles more than $1.3 billion in patient care as of 30th June 2026.</w:t>
      </w:r>
    </w:p>
    <w:p>
      <w:pPr>
        <w:pStyle w:val="Normal"/>
      </w:pPr>
      <w:r>
        <w:t xml:space="preserve">Prosper AI provides a comprehensive suite that covers scheduling, insurance verification, patient billing and payer communications. By automating these steps, providers can reduce administrative costs by over 40%.</w:t>
      </w:r>
    </w:p>
    <w:p>
      <w:pPr>
        <w:pStyle w:val="Normal"/>
      </w:pPr>
      <w:r>
        <w:t xml:space="preserve">Its client roster includes Athenahealth and Jackson Memorial Hospital, illustrating demand across large health systems.</w:t>
      </w:r>
    </w:p>
    <w:p>
      <w:pPr>
        <w:pStyle w:val="Normal"/>
      </w:pPr>
      <w:r>
        <w:t xml:space="preserve">Co-Founder and Co-CEO Xavier de Gracia says the capital will support engineering growth, deeper customer engagement and broader integrations with leading Electronic Health Record systems, fueling faster market adoption across providers. Andreessen Horowitz Partner Jay Rughani emphasized the significance of removing administrative hurdles in healthcare and the growing demand for end-to-end automation.</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HOLDING COMPANIES (91%);  TECHNOLOGY (90%);  ENTREPRENEURSHIP (90%);  BUSINESS REPORTS &amp; FORECASTS (90%);  INFORMATION TECHNOLOGY INDUSTRY (90%);  INNOVATION (90%);  FINANCIAL MARKET UPDATES (90%);  FINANCING ROUNDS (89%);  VENTURE CAPITAL (89%);  WRITERS (88%);  BUSINESS NEWS (78%);  FINANCIAL TECHNOLOGY (78%);  COMPANY ACTIVITIES &amp; MANAGEMENT (78%);  ARTIFICIAL INTELLIGENCE (74%);  CYBERSECURITY (74%);  NEGATIVE TECHNOLOGY NEWS (73%);  ONLINE SECURITY &amp; PRIVACY (73%);  CYBERCRIME (73%);  COMPUTER SOFTWARE (64%);  MOBILE MEDIA (63%); HOLDING COMPANIES (90%); TECHNOLOGY (93%); BUSINESS REPORTS &amp; FORECASTS (90%); INNOVATION (90%); FINANCING ROUNDS (89%); FINANCIAL MARKET UPDATES (90%); NEGATIVE TECHNOLOGY NEWS (72%); COMPANY ACTIVITIES &amp; MANAGEMENT (78%); VENTURE CAPITAL (89%); WRITERS (89%); CYBERCRIME (69%); ARTIFICIAL INTELLIGENCE (74%); BUSINESS NEWS (78%); FINANCIAL TECHNOLOGY (77%); ENTREPRENEURSHIP (90%)</w:t>
      </w:r>
    </w:p>
    <w:p>
      <w:pPr>
        <w:pStyle w:val="Normal"/>
      </w:pPr>
      <w:r>
        <w:t xml:space="preserve">Company:  ACCENTURE PLC (58%); WndrCo</w:t>
      </w:r>
    </w:p>
    <w:p>
      <w:pPr>
        <w:pStyle w:val="Normal"/>
      </w:pPr>
      <w:r>
        <w:t xml:space="preserve">Ticker: ACN (NYSE) (58%); WNDRCO</w:t>
      </w:r>
    </w:p>
    <w:p>
      <w:pPr>
        <w:pStyle w:val="Normal"/>
      </w:pPr>
      <w:r>
        <w:t xml:space="preserve">Industry: NAICS541611 ADMINISTRATIVE MANAGEMENT &amp; GENERAL MANAGEMENT CONSULTING SERVICES (58%); SIC8742 MANAGEMENT CONSULTING SERVICES (58%); MOBILE MEDIA (63%); ONLINE SECURITY &amp; PRIVACY (54%); COMPUTER SOFTWARE (64%); FINANCIAL MARKET UPDATES (90%); VENTURE CAPITAL (89%); CYBERSECURITY (75%); WRITERS (89%); CYBERCRIME (69%); ARTIFICIAL INTELLIGENCE (74%); FINANCIAL TECHNOLOGY (77%); INFORMATION TECHNOLOGY INDUSTRY (90%); 523910 (%)</w:t>
      </w:r>
    </w:p>
    <w:p>
      <w:pPr>
        <w:pStyle w:val="Normal"/>
      </w:pPr>
      <w:r>
        <w:t xml:space="preserve">Person:  JEFFREY KATZENBERG (73%); JEFFREY KATZENBERG (73%)</w:t>
      </w:r>
    </w:p>
    <w:p>
      <w:pPr>
        <w:pStyle w:val="Normal"/>
      </w:pPr>
      <w:r>
        <w:t xml:space="preserve">Geographic:  LOS ANGELES, CA, USA (92%); LOS ANGELES, CA, USA (92%);  CALIFORNIA, USA (93%); CALIFORNIA, USA (93%);  UNITED STATES (93%);  MIDDLE EAST (79%); MIDDLE EAST (79%); United States; United States</w:t>
      </w:r>
    </w:p>
    <w:p>
      <w:pPr>
        <w:pStyle w:val="Normal"/>
      </w:pPr>
      <w:r>
        <w:t xml:space="preserve">Load-Date: July 10,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2026-10-22T20:14:54Z</dcterms:modified>
  <cp:category/>
</cp:coreProperties>
</file>