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6, 2026 Monday</w:t>
      </w:r>
    </w:p>
    <w:p>
      <w:pPr>
        <w:pStyle w:val="Normal"/>
      </w:pPr>
      <w:r>
        <w:t xml:space="preserve">Copyright 2026 Jupiter International (Australia) Pty Ltd. All Rights Reserved</w:t>
      </w:r>
    </w:p>
    <w:p>
      <w:pPr>
        <w:pStyle w:val="Normal"/>
      </w:pPr>
      <w:r>
        <w:t xml:space="preserve">Section: ANNOUNCEMENTS</w:t>
      </w:r>
    </w:p>
    <w:p>
      <w:pPr>
        <w:pStyle w:val="Normal"/>
      </w:pPr>
      <w:r>
        <w:t xml:space="preserve">Length: 1414 words</w:t>
      </w:r>
    </w:p>
    <w:p>
      <w:pPr>
        <w:pStyle w:val="Normal"/>
      </w:pPr>
      <w:r>
        <w:t xml:space="preserve">Body</w:t>
      </w:r>
    </w:p>
    <w:p>
      <w:pPr>
        <w:pStyle w:val="Normal"/>
      </w:pPr>
      <w:r>
        <w:t xml:space="preserve">M13 General Partner Latif Peracha announced on April 15, 2026, the firm's decision to co-lead OpenFX's Series A funding round, underscoring what Peracha described as a shared vision of enhancing the trading experience for both retail and institutional investors. OpenFX operates as a digital asset platform focused on transforming the foreign exchange market, where demand for more efficient and transparent trading solutions has been rising steadily. Peracha noted that M13's expertise in scaling technology companies positions it as a valuable strategic partner for OpenFX as the platform moves to expand its technological infrastructure and broaden its market reach. The funding is intended to support new product features catering to the evolving needs of OpenFX's user base, with M13's guidance expected to play a central role in driving user acquisition and retention. Peracha characterized OpenFX as well-equipped to address persistent challenges faced by traders, including high transaction fees and slow settlement times, through the deployment of cutting-edge technology aimed at delivering a seamless trading environment.</w:t>
      </w:r>
    </w:p>
    <w:p>
      <w:pPr>
        <w:pStyle w:val="Normal"/>
      </w:pPr>
      <w:r>
        <w:t xml:space="preserve">Turning to peer firm General Catalyst, the firm was among the parties involved in the completion of a take-private transaction involving Janus Henderson Group Ltd., finalized on June 30, 2026. Under the terms of the deal, Janus Henderson's public shares were converted into cash at $52.00 per share and subsequently delisted from the New York Stock Exchange, with Trian Fund Management, General Catalyst Group Management, and Qatar Investment Authority forming the acquiring consortium. Janus Henderson will continue to operate under its current management team, with Ali Dibadj remaining as Chief Executive Officer and the firm maintaining its established bases in London and Denver. Dibadj described the transition as opening a transformative new chapter, emphasizing the firm's commitment to delivering enhanced services to clients through long-term investments in technology, talent development, and investment solutions. General Catalyst CEO Hemant Taneja stated that the partnership is directed at enhancing Janus Henderson's technological capabilities and overall growth strategy, with the collaboration expected to set new standards within the asset management industry. The transaction drew support from a broad investor group that included MassMutual and Sun Hung Kai &amp; Co.</w:t>
      </w:r>
    </w:p>
    <w:p>
      <w:pPr>
        <w:pStyle w:val="Normal"/>
      </w:pPr>
      <w:r>
        <w:t xml:space="preserve">General Catalyst also participated in a $1.5 million seed funding round for Gurugram-based Omli, announced on June 17, 2026, with India Quotient leading the round. Founded in 2025 by Shivam Munshi and Siddhant Garg, Omli is focused on building AI infrastructure specifically designed for children's speech and language development, addressing a pronounced gap in the market given that most existing commercial speech recognition systems are trained predominantly on adult voices. The company's flagship application, OmliKids, enables children between the ages of three and ten to engage in voice-based conversations with an AI companion named Doro, and has achieved more than 500,000 downloads on the Google Play Store within months of its launch. To address the limitations of conventional speech models when applied to children, Omli has developed VedAnsh-v1, a proprietary speech-to-text and voice activity detection system that has demonstrated measurable improvements in word error rates compared to existing commercial systems. Co-founder Siddhant Garg outlined the company's ambition to reach adult-grade accuracy in children's speech recognition, including support for Indian accents and vernacular languages, while Shivam Munshi cited the prevalence of screen-based passive consumption among children as central to the company's mission of encouraging verbal interaction. India Quotient's Madhukar described children as the largest consumer segment for which AI solutions remain largely undeveloped.</w:t>
      </w:r>
    </w:p>
    <w:p>
      <w:pPr>
        <w:pStyle w:val="Normal"/>
      </w:pPr>
      <w:r>
        <w:t xml:space="preserve">In a separate development, General Catalyst's Customer Value Fund led an $85 million growth round for Rylo, a company formerly known as Nagish, with Canaan, Vertex Ventures, and Contour participating in the round. The investment pushes Rylo's total funding beyond $100 million and reflects sustained investor confidence in AI-driven accessibility technologies. Rylo, headquartered across Tel Aviv and New York, develops communication solutions aimed at improving accessibility for Deaf and hard-of-hearing individuals, offering real-time captioning for phone calls, instant speech-to-text conversion, text-to-speech capabilities, and in-person transcription services. The company expanded its product ecosystem through the acquisition of Sign.mt in 2025, following which it launched Rylo Sign, a solution enabling real-time translation between spoken and sign languages. The platform also incorporates speaker recognition, sentiment analysis, and fraud detection capabilities. Capital from the latest round is earmarked for expansion of Rylo's engineering, product development, and commercial operations teams, as well as investment in AI research and new workplace accessibility solutions, as the company pursues a long-term strategy of global expansion and broader adoption across individual and enterprise user segments.</w:t>
      </w:r>
    </w:p>
    <w:p>
      <w:pPr>
        <w:pStyle w:val="Normal"/>
      </w:pPr>
      <w:r>
        <w:t xml:space="preserve">At Lightspeed Venture Partners, the firm's Lightspeed Opportunity Fund, L.P. reported the sale of Netskope Inc. (NASDAQ: NTSK) Class A common stock totaling approximately $15.1 million, according to a recent SEC filing, with transactions occurring on June 12 and June 15, 2026. On June 12, the fund converted 1,650,000 shares of Class B common stock into Class A common stock for no additional consideration, subsequently selling 1,313,827 Class A shares at a weighted average price of $9.19 per share. Two days later, an additional 336,173 Class A shares were sold at a weighted average price of $9.00 per share, bringing total sale proceeds to $15,099,627. At the time of the transactions, Netskope shares were trading at approximately $8.95, down roughly 60% over the prior year and near the stock's 52-week low of $7.67. Following the sales, Lightspeed Opportunity Fund, L.P. holds no Class A common stock, though several other Lightspeed entities collectively held 62,843,207 shares of Class B common stock as of June 12, 2026, convertible into Class A shares on a one-for-one basis. Netskope had separately reported annual recurring revenue of $845 million, reflecting 29% year-over-year growth, alongside total revenue of approximately $202 million, up 28% year-over-year. Analysts at TD Cowen, BMO Capital, RBC Capital, Piper Sandler, and Mizuho all adjusted their price targets for the stock, with TD Cowen reducing its target from $25 to $19 while maintaining a Buy rating, citing the ARR miss and the departure of the company's CFO as contributing factors.</w:t>
      </w:r>
    </w:p>
    <w:p>
      <w:pPr>
        <w:pStyle w:val="Normal"/>
      </w:pPr>
      <w:r>
        <w:t xml:space="preserve">Lightspeed also made a leadership addition, appointing Rohit Kaul as its new marketing head as the firm prepares to raise its fifth India and Southeast Asia-focused fund, reportedly targeting approximately $500 million. Kaul previously served as Vice President of Marketing at Blume Ventures and has held roles at Sacra and HCL. His appointment follows the departure of former VP of Marketing and Communications Mansi Chugh after nearly four years in her role, and comes at a moment when Lightspeed is intensifying its investment focus across Indian and Southeast Asian markets amid a broader slowdown in startup funding and pressure on portfolio performance. The firm has established itself as a prominent investor in India's startup ecosystem, with notable portfolio companies including OYO, Udaan, ShareChat, PhysicsWallah, and Pocket FM. Lightspeed did not respond to queries prior to publication.</w:t>
      </w:r>
    </w:p>
    <w:p>
      <w:pPr>
        <w:pStyle w:val="Normal"/>
      </w:pPr>
      <w:r>
        <w:t xml:space="preserve">Lightspeed additionally participated in consecutive funding rounds for a startup focused on agent evaluation technology, with the investment publicly acknowledged on May 13, 2026. The startup has developed a platform designed to streamline and improve the agent assessment process, a segment drawing increasing interest from venture capital firms seeking opportunities where technology can address inefficiencies in traditional business operations. The capital raised is intended to support expansion of the startup's product offerings, investment in marketing to build brand awareness, and broader efforts to establish a competitive market presence as demand for efficient evaluation tools grows.</w:t>
      </w:r>
    </w:p>
    <w:p>
      <w:pPr>
        <w:pStyle w:val="Normal"/>
      </w:pPr>
      <w:r>
        <w:t xml:space="preserve">PermID: 5060022710</w:t>
      </w:r>
    </w:p>
    <w:p>
      <w:pPr>
        <w:pStyle w:val="Normal"/>
      </w:pPr>
      <w:r>
        <w:t xml:space="preserve">Created by  for News Bites Finance</w:t>
      </w:r>
    </w:p>
    <w:p>
      <w:pPr>
        <w:pStyle w:val="Normal"/>
      </w:pPr>
      <w:r>
        <w:t xml:space="preserve">Classification</w:t>
      </w:r>
    </w:p>
    <w:p>
      <w:pPr>
        <w:pStyle w:val="Normal"/>
      </w:pPr>
      <w:r>
        <w:t xml:space="preserve">Language: English</w:t>
      </w:r>
    </w:p>
    <w:p>
      <w:pPr>
        <w:pStyle w:val="Normal"/>
      </w:pPr>
      <w:r>
        <w:t xml:space="preserve">Document-Type: Jasper_automation</w:t>
      </w:r>
    </w:p>
    <w:p>
      <w:pPr>
        <w:pStyle w:val="Normal"/>
      </w:pPr>
      <w:r>
        <w:t xml:space="preserve">Publication-Type: Newswire</w:t>
      </w:r>
    </w:p>
    <w:p>
      <w:pPr>
        <w:pStyle w:val="Normal"/>
      </w:pPr>
      <w:r>
        <w:t xml:space="preserve">Subject:  TECHNOLOGY (90%);  BUSINESS REPORTS &amp; FORECASTS (90%);  EQUITY FINANCING (90%);  FINANCIAL MARKET UPDATES (90%);  GENERAL PARTNERSHIPS (90%);  FINANCING ROUNDS (89%);  VOICE RECOGNITION (89%);  CHILDREN  ADOLESCENTS &amp; TEENS (88%);  ARTIFICIAL INTELLIGENCE (83%);  ALLIANCES &amp; PARTNERSHIPS (78%);  COMPANY STRATEGY (78%);  NEW PRODUCTS (78%);  INFORMATION TECHNOLOGY INDUSTRY (78%);  STRATEGIC PARTNERSHIPS (78%);  DELISTINGS (77%);  ASSET MANAGEMENT (77%);  INVESTMENT MANAGEMENT (77%);  SOVEREIGN WEALTH FUNDS (77%);  RETAIL &amp; WHOLESALE TRADE (77%);  DIGITAL ASSET MANAGEMENT (77%);  STOCK EXCHANGES (77%);  ARTIFICIAL INTELLIGENCE INFRASTRUCTURE (75%);  GOING PRIVATE (73%);  MANAGERS &amp; SUPERVISORS (72%);  DIGITAL ASSETS (72%);  FOREIGN EXCHANGE MARKETS (72%);  EMERGING TECHNOLOGY (70%);  EXECUTIVES (69%);  CHILD DEVELOPMENT (67%);  PATTERN RECOGNITION (63%); COMPANY STRATEGY (78%); NEW PRODUCTS (78%); GOING PRIVATE (73%); STRATEGIC PARTNERSHIPS (78%); ARTIFICIAL INTELLIGENCE INFRASTRUCTURE (75%); STOCK EXCHANGES (77%); TECHNOLOGY (90%); BUSINESS REPORTS &amp; FORECASTS (90%); FINANCING ROUNDS (89%); EQUITY FINANCING (90%); FINANCIAL MARKET UPDATES (90%); EXECUTIVES (69%); DELISTINGS (77%); EMERGING TECHNOLOGY (70%); VOICE RECOGNITION (89%); INVESTMENT MANAGEMENT (77%); CHILD DEVELOPMENT (67%); FOREIGN EXCHANGE MARKETS (72%); ARTIFICIAL INTELLIGENCE (83%); ALLIANCES &amp; PARTNERSHIPS (78%); CHILDREN, ADOLESCENTS &amp; TEENS (88%); MANAGERS &amp; SUPERVISORS (72%); SOVEREIGN WEALTH FUNDS (77%); GENERAL PARTNERSHIPS (90%)</w:t>
      </w:r>
    </w:p>
    <w:p>
      <w:pPr>
        <w:pStyle w:val="Normal"/>
      </w:pPr>
      <w:r>
        <w:t xml:space="preserve">Company:  JANUS HENDERSON GROUP PLC (69%);  SUN HUNG KAI &amp; CO LTD (63%);  GOOGLE LLC (57%);  NEW YORK STOCK EXCHANGE LLC (54%); M13</w:t>
      </w:r>
    </w:p>
    <w:p>
      <w:pPr>
        <w:pStyle w:val="Normal"/>
      </w:pPr>
      <w:r>
        <w:t xml:space="preserve">Ticker: JHG (ASX) (69%); JHG (LSE) (69%); JHG (NYSE) (69%); 0086 (HKSE) (63%); M13</w:t>
      </w:r>
    </w:p>
    <w:p>
      <w:pPr>
        <w:pStyle w:val="Normal"/>
      </w:pPr>
      <w:r>
        <w:t xml:space="preserve">Industry: NAICS523940 PORTFOLIO MANAGEMENT AND INVESTMENT ADVICE (69%); SIC6282 INVESTMENT ADVICE (69%); NAICS523150 INVESTMENT BANKING AND SECURITIES INTERMEDIATION (63%); SIC6211 SECURITY BROKERS, DEALERS, &amp; FLOTATION COMPANIES (63%); NAICS519290 WEB SEARCH PORTALS AND ALL OTHER INFORMATION SERVICES (57%); NEW PRODUCTS (78%); ASSET MANAGEMENT (77%); ARTIFICIAL INTELLIGENCE INFRASTRUCTURE (75%); STOCK EXCHANGES (77%); DIGITAL ASSETS (72%); EQUITY FINANCING (90%); FINANCIAL MARKET UPDATES (90%); PATTERN RECOGNITION (63%); DELISTINGS (77%); VOICE RECOGNITION (89%); INVESTMENT MANAGEMENT (77%); FOREIGN EXCHANGE MARKETS (72%); ARTIFICIAL INTELLIGENCE (83%); SOVEREIGN WEALTH FUNDS (77%); DIGITAL ASSET MANAGEMENT (77%); RETAIL &amp; WHOLESALE TRADE (77%); INFORMATION TECHNOLOGY INDUSTRY (78%); 523910 (%)</w:t>
      </w:r>
    </w:p>
    <w:p>
      <w:pPr>
        <w:pStyle w:val="Normal"/>
      </w:pPr>
      <w:r>
        <w:t xml:space="preserve">Geographic:  LONDON, ENGLAND (53%); LONDON, ENGLAND (53%); United States; United States</w:t>
      </w:r>
    </w:p>
    <w:p>
      <w:pPr>
        <w:pStyle w:val="Normal"/>
      </w:pPr>
      <w:r>
        <w:t xml:space="preserve">Load-Date: July 6,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2026-10-22T20:15:01Z</dcterms:modified>
  <cp:category/>
</cp:coreProperties>
</file>