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9, 2026 Thursday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2326 words</w:t>
      </w:r>
    </w:p>
    <w:p>
      <w:pPr>
        <w:pStyle w:val="Normal"/>
      </w:pPr>
      <w:r>
        <w:t xml:space="preserve">Body</w:t>
      </w:r>
    </w:p>
    <w:p>
      <w:pPr>
        <w:pStyle w:val="Normal"/>
      </w:pPr>
      <w:r>
        <w:t xml:space="preserve">General Catalyst, the Cambridge, Massachusetts-based global investment and transformation firm founded in 2000, has been active across multiple high-stakes deals in recent months, as has much of its peer group. Managing over $30 billion in assets and with a portfolio that includes transformative companies such as Airbnb and Stripe, General Catalyst continues to drive significant investment activity across healthcare, financial technology, defense, industrials, climate, and energy. Its peers — Andreessen Horowitz, Sequoia Capital, and Accel — have similarly been making headlines with a range of notable funding rounds and strategic developments spanning several continents and sectors.</w:t>
      </w:r>
    </w:p>
    <w:p>
      <w:pPr>
        <w:pStyle w:val="Normal"/>
      </w:pPr>
      <w:r>
        <w:t xml:space="preserve">Janus Henderson Group Ltd. completed its take-private transaction with Trian Fund Management, General Catalyst Group Management, and Qatar Investment Authority on June 30, 2026. As part of the deal, Janus Henderson's public shares were converted into cash at $52.00 per share and subsequently delisted from the New York Stock Exchange. The transaction is designed to support long-term investment in client experience, technology, and talent development. Janus Henderson will continue operating under its current management team, with Ali Dibadj remaining as Chief Executive Officer, and will maintain its operational bases in London and Denver. Dibadj described the transition as a new chapter for the firm, highlighting transformative opportunities ahead in partnership with Trian and General Catalyst. Trian's CEO Nelson Peltz noted the impressive progress Janus Henderson has made since Trian's initial investment in 2020. General Catalyst's CEO Hemant Taneja stated the firm's commitment to enhancing Janus Henderson's technological capabilities and growth strategy. The deal drew support from notable global investors including MassMutual and Sun Hung Kai &amp; Co., and was advised by leading legal and financial firms across the industry.</w:t>
      </w:r>
    </w:p>
    <w:p>
      <w:pPr>
        <w:pStyle w:val="Normal"/>
      </w:pPr>
      <w:r>
        <w:t xml:space="preserve">On June 17, 2026, Gurugram-based Omli, a startup focused on developing AI infrastructure for children's speech and language development, announced a $1.5 million seed funding round led by India Quotient, with participation from General Catalyst. Omli was founded in 2025 by Shivam Munshi and Siddhant Garg with the goal of addressing a critical gap in the AI landscape — the near-absence of speech models tailored for young children. Most existing commercial speech recognition systems are trained predominantly on adult voices, resulting in significant inaccuracies when applied to children's speech. Omli's flagship product, OmliKids, allows children aged three to ten to engage in voice-based conversations with an AI companion named Doro, positioning the platform as a conversational tool rather than a game or video product. The app had surpassed 500,000 downloads on the Google Play Store within months of launch. To address the technical limitations of conventional speech systems, Omli developed VedAnsh-v1, a proprietary speech-to-text and voice activity detection model specifically built for children's voices, which has demonstrated meaningful improvements in word error rates over existing commercial systems. Co-founder Siddhant Garg outlined the company's ambition to achieve adult-grade accuracy in children's speech recognition, including support for Indian accents and vernacular languages. India Quotient's Madhukar characterized children as the largest consumer segment for which AI solutions remain largely undeveloped. Omli plans to use the funding to develop next-generation speech models and expand into conversational intelligence systems capable of adapting in real time to a child's speaking pace and communication patterns, along with speech-based screening tools to help parents and educators identify articulation challenges early.</w:t>
      </w:r>
    </w:p>
    <w:p>
      <w:pPr>
        <w:pStyle w:val="Normal"/>
      </w:pPr>
      <w:r>
        <w:t xml:space="preserve">General Catalyst also led an $85 million growth funding round for Rylo, formerly known as Nagish, through its Customer Value Fund, with participation from Canaan, Vertex Ventures, and Contour. The investment pushes Rylo's total funding beyond $100 million and signals growing confidence in AI-driven accessibility technologies. Based in Tel Aviv and New York, Rylo develops communication solutions designed to improve accessibility for Deaf and hard-of-hearing individuals, offering an AI-powered platform that provides real-time captioning for phone calls, speech-to-text conversion, text-to-speech capabilities, and in-person transcription services. Following its acquisition of Sign.mt in 2025, Rylo launched Rylo Sign, enabling real-time translation between spoken and sign languages. The platform also incorporates speaker recognition, sentiment analysis, and fraud detection capabilities. The newly raised capital will be directed toward expanding engineering, product development, and commercial operations, as well as AI research and the development of new workplace accessibility solutions.</w:t>
      </w:r>
    </w:p>
    <w:p>
      <w:pPr>
        <w:pStyle w:val="Normal"/>
      </w:pPr>
      <w:r>
        <w:t xml:space="preserve">Andreessen Horowitz led a $20 million seed funding round for Pillar, a financial risk management startup founded by CEO Harsha Ramesh and CTO Chinmay Deshpande. The round, described as one of the larger early-stage deals in enterprise fintech this year, also drew participation from Uber CEO Dara Khosrowshahi, Crucible Capital, and Gallery Ventures. Pillar is focused on streamlining the management of financial risks that have traditionally depended on spreadsheets, legacy systems, and complex enterprise tools. As companies expand globally, the demand for better oversight of treasury operations, exposure hedging, and regulatory compliance has grown considerably, and Pillar aims to address this need. Andreessen Horowitz's investment aligns with its broader strategy of backing foundational software companies integral to business infrastructure, while Khosrowshahi's participation adds operational credibility given his experience managing financial operations across global markets. With $20 million in hand, Pillar is focused on product development and early customer adoption.</w:t>
      </w:r>
    </w:p>
    <w:p>
      <w:pPr>
        <w:pStyle w:val="Normal"/>
      </w:pPr>
      <w:r>
        <w:t xml:space="preserve">Andreessen Horowitz announced on July 3, 2026, that it is leading a private funding round targeting approximately $2 billion for a company called Switch. Specific details regarding Switch's valuation and products have not been disclosed, but the round marks at least the third time Andreessen Horowitz has anchored a raise of approximately $2 billion, reinforcing a visible pattern in the firm's high-conviction investment strategy. The firm recently co-led a $2 billion round for AI coding startup Cursor, developed by Anysphere, alongside Nvidia and Thrive Capital, elevating Cursor's valuation to over $50 billion. Andreessen Horowitz also led the record $2 billion seed round for Thinking Machines Lab.</w:t>
      </w:r>
    </w:p>
    <w:p>
      <w:pPr>
        <w:pStyle w:val="Normal"/>
      </w:pPr>
      <w:r>
        <w:t xml:space="preserve">Prosper AI raised $30 million in a Series A financing round led by Andreessen Horowitz, announced on June 30, 2026. Revenue at the company has grown fivefold, and the platform now manages over $1.3 billion in patient care. Prosper AI's platform covers scheduling, insurance verification, patient billing, and payer communications, with the company reporting that healthcare providers using its system can reduce administrative costs by more than 40%. Clients include Athenahealth and Jackson Memorial Hospital. Co-Founder and Co-CEO Xavier de Gracia stated the new capital will be directed toward expanding the engineering team, enhancing customer engagement, deepening integrations with key Electronic Health Record systems, and accelerating broader market adoption. Jay Rughani, Partner at Andreessen Horowitz, noted the firm was particularly impressed by Prosper AI's ambition to eliminate administrative hurdles in healthcare.</w:t>
      </w:r>
    </w:p>
    <w:p>
      <w:pPr>
        <w:pStyle w:val="Normal"/>
      </w:pPr>
      <w:r>
        <w:t xml:space="preserve">Sequoia Capital's European partner Luciana Lixandru, speaking on June 23, 2026, offered a detailed perspective on the trajectory of the European technology landscape. Lixandru, who has worked with notable startups including Deliveroo, UiPath, and Vinted, expressed confidence that Europe is now positioned to produce its first trillion-dollar tech company. She attributed this optimism to a growing cohort of repeat entrepreneurs with experience at established tech firms who are building innovative solutions in the region. Companies such as Pennylane and ElevenLabs were cited as examples of this trend. Lixandru noted that artificial intelligence is serving as an equalizer, enabling European founders to compete globally, though she acknowledged that fragmented ecosystems and limited cross-border collaboration frameworks continue to pose challenges compared to the concentrated networks found in Silicon Valley.</w:t>
      </w:r>
    </w:p>
    <w:p>
      <w:pPr>
        <w:pStyle w:val="Normal"/>
      </w:pPr>
      <w:r>
        <w:t xml:space="preserve">Sequoia Capital partner Shaun Maguire, on June 16, 2026, argued that SpaceX's public offering — priced at approximately $135 per share and carrying a post-IPO valuation exceeding $2 trillion — represents a catalyst for broader hardware startup activity. Maguire contended that the IPO would accelerate the migration of talent from established laboratories into sectors including biology, energy, and climate technology, drawing a parallel to the entrepreneurial wave that followed PayPal's public listing in the early 2000s. Maguire noted that a substantial share of the hardware startups he encounters already count SpaceX alumni among their founders. Sequoia's own position in SpaceX has grown considerably, with the firm's stake increasing from approximately $2 billion to over $20 billion following the offering, on a personal investment of about $1.2 billion since 2019. Maguire also flagged execution risks across these sectors, particularly regulatory timelines in biology, capital intensity in energy ventures, and policy sensitivity in climate technology.</w:t>
      </w:r>
    </w:p>
    <w:p>
      <w:pPr>
        <w:pStyle w:val="Normal"/>
      </w:pPr>
      <w:r>
        <w:t xml:space="preserve">Sequoia Capital led a $56 million funding round for Astrocade, announced on May 5, 2026. Astrocade is a startup that uses generative AI to allow non-technical users to create playable games from simple descriptions, generating game logic, art assets, and mechanics without requiring coding expertise. The company aims to make game creation a mainstream consumer activity, positioning itself apart from earlier tools such as HyperCard, Flash, and Roblox's Lua-based Studio, which simplified development for hobbyists but fell short of eliminating barriers for average users. Sequoia's investment reflects confidence in Astrocade's strategy of integrating both game creation and gameplay within a single platform, potentially establishing a direct economic relationship with its user base.</w:t>
      </w:r>
    </w:p>
    <w:p>
      <w:pPr>
        <w:pStyle w:val="Normal"/>
      </w:pPr>
      <w:r>
        <w:t xml:space="preserve">Accel India co-led a Series C funding round of ₹120 crore (approximately $12.7 million) for Apna Mart, an omnichannel grocery and FMCG chain operating on a franchise model, alongside co-lead Fundamentum and participating investor Peak XV Partners. The round was announced on June 30, 2026, and follows a $25 million Series B raised in March 2025 that was also led by Accel and Fundamentum. According to regulatory filings, the company's board approved the issuance of 2,367 Series C compulsorily convertible preference shares at ₹5,06,757 each. Accel India and Fundamentum will each invest ₹55 crore, with Peak XV contributing ₹10 crore. Apna Mart's valuation is projected to rise to ₹1,470 crore, nearly double its previous ₹738 crore valuation. Founded by Abhishek Singh and Chetan Garg, the Gurugram-based company targets Tier II and Tier III cities with a neighborhood store model enabling grocery delivery in approximately 10 minutes. In FY25, the company reported operating revenue of ₹185 crore and a net loss of ₹76 crore, while claiming revenue growth of 2.5 times to ₹500 crore in FY26.</w:t>
      </w:r>
    </w:p>
    <w:p>
      <w:pPr>
        <w:pStyle w:val="Normal"/>
      </w:pPr>
      <w:r>
        <w:t xml:space="preserve">Accel India also led a Series A funding round of Rs 130 crore for Bengaluru-based credit management startup Oolka, completed on June 29, 2026, valuing the company at approximately Rs 730 crore. Accel invested Rs 87.22 crore in the round, with existing investors Lightspeed and Z47, formerly Matrix Partners, contributing Rs 20.87 crore and Rs 20.86 crore respectively. Meesho co-founders Vidit Aatrey and Sanjeev Barnwal also participated, each investing Rs 32.65 lakh. Founded in 2024 by Utkrishta Kumar, Oolka is building an AI-powered platform designed to help users track, manage, and improve their credit health. The company had raised $7 million in a prior seed round and reported nearly 2 million users and over Rs 100 crore in credit repayments at that stage, with partnerships including Yes Bank, IDFC First Bank, and AU Small Finance Bank. As of FY25, Oolka remained in the pre-revenue stage, reporting revenue of Rs 5.52 lakh against a loss of Rs 5.58 crore. Competitors in the space include GoodScore, OneScore, Paisabazaar, and CRED.</w:t>
      </w:r>
    </w:p>
    <w:p>
      <w:pPr>
        <w:pStyle w:val="Normal"/>
      </w:pPr>
      <w:r>
        <w:t xml:space="preserve">Open Vision Engineering, the company behind AI hardware device Pocket, announced a funding round of $11 million from Accel, Y Combinator, and a group of technology leaders including Guillermo Rauch, Mati Staniszewski, and Kaz Nejatian, on June 29, 2026. Pocket is a dedicated wearable device designed to capture conversations and transform them into concise summaries, speaker-attributed notes, and actionable follow-up items, without requiring users to engage with a smartphone. The company gained attention following a concept video released in late 2024 that generated thousands of pre-orders. Pocket launched in October 2025, shipping over 10,000 devices on its first day, and by March 2026 had achieved an annualized revenue run rate of $27 million and shipped more than 35,000 devices. The company counts DoorDash among its enterprise partners. CEO and co-founder Akshay Narisetti stated, "We started Pocket because we believe the best technology should help people be more present, not more distracted." Cecilia Wang, Partner at Accel, described Pocket as helping define a new category of AI-native devices and expressed the firm's commitment to supporting the company as it scales toward millions of users. The new capital will be used to expand the design and engineering teams and to explore additional hardware capabilities and product enhancements.</w:t>
      </w:r>
    </w:p>
    <w:p>
      <w:pPr>
        <w:pStyle w:val="Normal"/>
      </w:pPr>
      <w:r>
        <w:t xml:space="preserve">PermID: 4297042748</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NEWS BRIEFS (90%);  BUSINESS REPORTS &amp; FORECASTS (90%);  FINANCIAL MARKET UPDATES (90%);  CHILDREN  ADOLESCENTS &amp; TEENS (89%);  TECHNOLOGY (89%);  EXECUTIVES (89%);  FINANCING ROUNDS (89%);  FOREIGN INVESTMENT (89%);  VOICE RECOGNITION (89%);  ARTIFICIAL INTELLIGENCE (85%);  COMPANY STRATEGY (78%);  MANAGERS &amp; SUPERVISORS (78%);  GLOBALIZATION (78%);  FINANCIAL TECHNOLOGY (78%);  INVESTMENT MANAGEMENT (78%);  ON DEMAND SERVICES (77%);  CHILD DEVELOPMENT (75%);  GOING PRIVATE (74%);  DELISTINGS (73%);  BANKING &amp; FINANCE (73%);  SOVEREIGN WEALTH FUNDS (73%);  STOCK EXCHANGES (68%);  PATTERN RECOGNITION (67%);  ARTIFICIAL INTELLIGENCE INFRASTRUCTURE (62%);  ACOUSTIC &amp; AUDIO SENSORS (60%); COMPANY STRATEGY (78%); GOING PRIVATE (74%); ARTIFICIAL INTELLIGENCE INFRASTRUCTURE (62%); STOCK EXCHANGES (68%); TECHNOLOGY (89%); BUSINESS REPORTS &amp; FORECASTS (90%); FINANCING ROUNDS (89%); FINANCIAL MARKET UPDATES (90%); EXECUTIVES (90%); DELISTINGS (73%); VOICE RECOGNITION (89%); INVESTMENT MANAGEMENT (78%); CHILD DEVELOPMENT (75%); NEWS BRIEFS (90%); GLOBALIZATION (78%); ARTIFICIAL INTELLIGENCE (85%); CHILDREN, ADOLESCENTS &amp; TEENS (89%); MANAGERS &amp; SUPERVISORS (78%); SOVEREIGN WEALTH FUNDS (73%); FINANCIAL TECHNOLOGY (78%); FOREIGN INVESTMENT (89%)</w:t>
      </w:r>
    </w:p>
    <w:p>
      <w:pPr>
        <w:pStyle w:val="Normal"/>
      </w:pPr>
      <w:r>
        <w:t xml:space="preserve">Company:  JANUS HENDERSON GROUP PLC (73%);  SUN HUNG KAI &amp; CO LTD (66%);  GOOGLE LLC (57%);  SEQUOIA CAPITAL (57%);  NEW YORK STOCK EXCHANGE LLC (56%); General Catalyst</w:t>
      </w:r>
    </w:p>
    <w:p>
      <w:pPr>
        <w:pStyle w:val="Normal"/>
      </w:pPr>
      <w:r>
        <w:t xml:space="preserve">Ticker: JHG (ASX) (73%); JHG (LSE) (73%); JHG (NYSE) (73%); 0086 (HKSE) (66%); GENERALCATALYST</w:t>
      </w:r>
    </w:p>
    <w:p>
      <w:pPr>
        <w:pStyle w:val="Normal"/>
      </w:pPr>
      <w:r>
        <w:t xml:space="preserve">Industry: NAICS523940 PORTFOLIO MANAGEMENT AND INVESTMENT ADVICE (73%); SIC6282 INVESTMENT ADVICE (73%); NAICS523150 INVESTMENT BANKING AND SECURITIES INTERMEDIATION (66%); SIC6211 SECURITY BROKERS, DEALERS, &amp; FLOTATION COMPANIES (66%); NAICS519290 WEB SEARCH PORTALS AND ALL OTHER INFORMATION SERVICES (57%); SIC6799 INVESTORS, NEC (57%); ON DEMAND SERVICES (77%); ARTIFICIAL INTELLIGENCE INFRASTRUCTURE (62%); STOCK EXCHANGES (68%); FINANCIAL MARKET UPDATES (90%); BANKING &amp; FINANCE (73%); PATTERN RECOGNITION (67%); DELISTINGS (73%); VOICE RECOGNITION (89%); INVESTMENT MANAGEMENT (78%); ARTIFICIAL INTELLIGENCE (85%); ACOUSTIC &amp; AUDIO SENSORS (60%); SOVEREIGN WEALTH FUNDS (73%); FINANCIAL TECHNOLOGY (78%); 523910 (%)</w:t>
      </w:r>
    </w:p>
    <w:p>
      <w:pPr>
        <w:pStyle w:val="Normal"/>
      </w:pPr>
      <w:r>
        <w:t xml:space="preserve">Person:  RONALD L NELSON (50%); RONALD L NELSON (50%)</w:t>
      </w:r>
    </w:p>
    <w:p>
      <w:pPr>
        <w:pStyle w:val="Normal"/>
      </w:pPr>
      <w:r>
        <w:t xml:space="preserve">Geographic:  LONDON, ENGLAND (55%); LONDON, ENGLAND (55%);  MASSACHUSETTS, USA (90%); MASSACHUSETTS, USA (90%);  UNITED STATES (90%); United States; United States</w:t>
      </w:r>
    </w:p>
    <w:p>
      <w:pPr>
        <w:pStyle w:val="Normal"/>
      </w:pPr>
      <w:r>
        <w:t xml:space="preserve">Load-Date: July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2026-10-22T20:15:03Z</dcterms:modified>
  <cp:category/>
</cp:coreProperties>
</file>