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News Bites - Private Companies</w:t>
      </w:r>
    </w:p>
    <w:p>
      <w:pPr>
        <w:pStyle w:val="Normal"/>
      </w:pPr>
      <w:r>
        <w:t xml:space="preserve">July 10, 2026 Friday</w:t>
      </w:r>
    </w:p>
    <w:p>
      <w:pPr>
        <w:pStyle w:val="Normal"/>
      </w:pPr>
      <w:r>
        <w:t xml:space="preserve">Copyright 2026 Jupiter International (Australia) Pty Ltd. All Rights Reserved</w:t>
      </w:r>
    </w:p>
    <w:p>
      <w:pPr>
        <w:pStyle w:val="Normal"/>
      </w:pPr>
      <w:r>
        <w:t xml:space="preserve">Section: ANNOUNCEMENTS</w:t>
      </w:r>
    </w:p>
    <w:p>
      <w:pPr>
        <w:pStyle w:val="Normal"/>
      </w:pPr>
      <w:r>
        <w:t xml:space="preserve">Length: 1450 words</w:t>
      </w:r>
    </w:p>
    <w:p>
      <w:pPr>
        <w:pStyle w:val="Normal"/>
      </w:pPr>
      <w:r>
        <w:t xml:space="preserve">Body</w:t>
      </w:r>
    </w:p>
    <w:p>
      <w:pPr>
        <w:pStyle w:val="Normal"/>
      </w:pPr>
      <w:r>
        <w:t xml:space="preserve">M13 General Partner Latif Peracha announced on 15th April 2025 the firm's decision to co-lead OpenFX's Series A funding round, citing strategic alignment with the digital asset platform's mission to transform the foreign exchange market. Peracha stated that M13's involvement is driven by a shared vision of enhancing the trading experience for both retail and institutional investors, with the funding round aimed at bolstering OpenFX's technological infrastructure and expanding its market reach. According to Peracha, OpenFX is well-positioned to address persistent pain points for traders, including high transaction fees and slow settlement times, by leveraging cutting-edge technology to deliver a seamless trading experience. M13's strategic guidance is expected to play a central role in executing OpenFX's product expansion plans, with new features in development to cater to an evolving user base. The partnership reflects M13's broader commitment to investing in disruptive technologies that reshape traditional financial markets, with Peracha noting that as the digital currency ecosystem matures, such collaborations will become increasingly critical in navigating the complexities of the financial landscape.</w:t>
      </w:r>
    </w:p>
    <w:p>
      <w:pPr>
        <w:pStyle w:val="Normal"/>
      </w:pPr>
      <w:r>
        <w:t xml:space="preserve">On the peer front, Janus Henderson Group Ltd. finalized its take-private transaction with Trian Fund Management, General Catalyst Group Management, and Qatar Investment Authority on 30th June 2025, with public shares converted to cash at $52.00 per share and subsequently delisted from the New York Stock Exchange. Chief Executive Officer Ali Dibadj, who continues to lead the firm from its operational bases in London and Denver, expressed enthusiasm about the new chapter, highlighting transformative opportunities ahead in partnership with Trian and General Catalyst. Trian's CEO Nelson Peltz acknowledged the impressive strides Janus Henderson has made since Trian's initial investment in 2025, while General Catalyst's CEO Hemant Taneja underscored the partnership's focus on enhancing the firm's technological capabilities and overall growth strategy. The transaction drew support from a broad investor group including MassMutual and Sun Hung Kai &amp; Co., with leading legal and financial advisers engaged across the deal. The privatization is expected to enable long-term investment in client solutions, technology, and talent development, positioning Janus Henderson to strengthen its standing in the competitive asset management landscape.</w:t>
      </w:r>
    </w:p>
    <w:p>
      <w:pPr>
        <w:pStyle w:val="Normal"/>
      </w:pPr>
      <w:r>
        <w:t xml:space="preserve">General Catalyst also participated in a $1.5 million seed funding round for Gurugram-based Omli, announced on 17th June 2025, with the round led by India Quotient. Founded in 2025 by Shivam Munshi and Siddhant Garg, Omli is building AI infrastructure specifically designed for children's speech and language development — an area largely overlooked by existing commercial speech recognition systems, which are predominantly trained on adult voices. The company's flagship application, OmliKids, enables children aged three to ten to engage in voice-based conversations with an AI companion named Doro, and has already surpassed 500,000 downloads on the Google Play Store within months of launch. To address accuracy gaps in conventional speech models, Omli developed VedAnsh-v1, a proprietary speech-to-text and voice activity detection system built specifically for children's voices, demonstrating meaningful improvements in word error rates compared to existing commercial alternatives. Co-founder Siddhant Garg outlined ambitions to achieve adult-grade accuracy in children's speech recognition, with support for Indian accents and vernacular languages. India Quotient's Madhukar noted that children represent the largest consumer segment for which AI solutions have yet to be meaningfully developed, pointing to the significant opportunity ahead.</w:t>
      </w:r>
    </w:p>
    <w:p>
      <w:pPr>
        <w:pStyle w:val="Normal"/>
      </w:pPr>
      <w:r>
        <w:t xml:space="preserve">In a separate development, General Catalyst's Customer Value Fund led an $85 million growth round for Rylo — formerly known as Nagish — with co-participation from Canaan, Vertex Ventures, and Contour, pushing the company's total funding beyond $100 million. Headquartered across Tel Aviv and New York, Rylo develops AI-powered communication solutions for Deaf and hard-of-hearing individuals, offering real-time captioning for phone calls, instant speech-to-text and text-to-speech conversion, and in-person transcription services. Following its acquisition of Sign.mt in 2025, Rylo launched Rylo Sign, enabling real-time translation between spoken and sign languages, and further enhanced its platform with AI-driven features including speaker recognition, sentiment analysis, and fraud detection. The newly raised capital will fund expansion of the company's engineering, product development, and commercial teams, alongside investment in AI research, infrastructure, and new workplace accessibility solutions. Rylo's long-term strategy targets global expansion and broader adoption among individual and enterprise users as accessibility regulations evolve and demand for barrier-removing communication technologies continues to grow worldwide.</w:t>
      </w:r>
    </w:p>
    <w:p>
      <w:pPr>
        <w:pStyle w:val="Normal"/>
      </w:pPr>
      <w:r>
        <w:t xml:space="preserve">Lightspeed Opportunity Fund, L.P., an entity affiliated with Lightspeed Venture Partners, reported the sale of approximately $15.1 million in Netskope Inc. (NASDAQ: NTSK) Class A common stock across two transactions conducted on 12th June and 15th June 2025, per a recent SEC filing. On 12th June 2025, the fund converted 1,650,000 Class B shares into Class A shares before selling 1,313,827 shares at a weighted average price of $9.19 per share; two days later, a further 336,173 Class A shares were sold at a weighted average of $9.00 per share, bringing total proceeds to $15,099,627. Following the transactions, Lightspeed Opportunity Fund, L.P. held no remaining Class A common stock, though several affiliated Lightspeed entities collectively retained 62,843,207 shares of Class B common stock as of 12th June 2025, convertible to Class A shares on a one-for-one basis, with automatic conversion scheduled for 19th September 2035. At the time of the sales, Netskope shares traded at $8.95, approximately 60% below their year-ago levels and near the stock's 52-week low of $7.67. Netskope separately reported annual recurring revenue of $845 million, reflecting 29% year-over-year growth, alongside total revenue of approximately $202 million, up 28% year-over-year. Analyst sentiment was mixed, with TD Cowen reducing its price target from $25 to $19 while retaining a Buy rating, and BMO Capital, RBC Capital, Piper Sandler, and Mizuho each adjusting their targets downward, citing ARR performance, sales force productivity concerns, and the departure of the company's CFO as contributing factors.</w:t>
      </w:r>
    </w:p>
    <w:p>
      <w:pPr>
        <w:pStyle w:val="Normal"/>
      </w:pPr>
      <w:r>
        <w:t xml:space="preserve">Lightspeed Venture Partners also moved to strengthen its marketing leadership ahead of a planned fifth India and Southeast Asia-focused fund, reportedly targeting approximately $500 million, with the appointment of Rohit Kaul as the firm's new marketing head. Kaul previously served as Vice President of Marketing at Blume Ventures from February 2023, and brings additional experience from roles at Sacra and HCL. His appointment follows the departure of former VP of Marketing and Communications Mansi Chugh after nearly four years in the role, continuing a period of transition within Lightspeed's communications and marketing function that also saw Carina Chopra step down after three and a half years. Lightspeed has established a prominent position within India's startup ecosystem through investments in companies including OYO, Udaan, ShareChat, PhysicsWallah, and Pocket FM, and Kaul's appointment is aimed at sustaining brand presence and outreach amid a period of slowed startup funding and pressure on portfolio performance across the region.</w:t>
      </w:r>
    </w:p>
    <w:p>
      <w:pPr>
        <w:pStyle w:val="Normal"/>
      </w:pPr>
      <w:r>
        <w:t xml:space="preserve">Lightspeed Venture Partners also participated in consecutive funding rounds for an agent evaluation startup focused on streamlining and enhancing the agent assessment process, with the investment publicly acknowledged on 13th May 2025. The startup has attracted growing investor interest for its platform addressing inefficiencies in agent performance assessments, with the latest capital earmarked for product expansion, technological development, and marketing efforts designed to increase brand awareness and establish market presence. Lightspeed's back-to-back participation in the company's funding rounds reflects a broader strategic orientation toward technology-driven solutions that improve traditional business operations, with the firm betting that rising demand for efficient evaluation tools will generate significant market opportunity as the agent evaluation landscape continues to evolve.</w:t>
      </w:r>
    </w:p>
    <w:p>
      <w:pPr>
        <w:pStyle w:val="Normal"/>
      </w:pPr>
      <w:r>
        <w:t xml:space="preserve">PermID: 5060022710</w:t>
      </w:r>
    </w:p>
    <w:p>
      <w:pPr>
        <w:pStyle w:val="Normal"/>
      </w:pPr>
      <w:r>
        <w:t xml:space="preserve">Created by  for News Bites Finance</w:t>
      </w:r>
    </w:p>
    <w:p>
      <w:pPr>
        <w:pStyle w:val="Normal"/>
      </w:pPr>
      <w:r>
        <w:t xml:space="preserve">Classification</w:t>
      </w:r>
    </w:p>
    <w:p>
      <w:pPr>
        <w:pStyle w:val="Normal"/>
      </w:pPr>
      <w:r>
        <w:t xml:space="preserve">Language: English</w:t>
      </w:r>
    </w:p>
    <w:p>
      <w:pPr>
        <w:pStyle w:val="Normal"/>
      </w:pPr>
      <w:r>
        <w:t xml:space="preserve">Document-Type: Jasper_automation</w:t>
      </w:r>
    </w:p>
    <w:p>
      <w:pPr>
        <w:pStyle w:val="Normal"/>
      </w:pPr>
      <w:r>
        <w:t xml:space="preserve">Publication-Type: Newswire</w:t>
      </w:r>
    </w:p>
    <w:p>
      <w:pPr>
        <w:pStyle w:val="Normal"/>
      </w:pPr>
      <w:r>
        <w:t xml:space="preserve">Subject:  BUSINESS NEWS (90%);  TECHNOLOGY (90%);  FINANCING ROUNDS (90%);  NEWS BRIEFS (90%);  BUSINESS REPORTS &amp; FORECASTS (90%);  EQUITY FINANCING (90%);  FINANCIAL MARKET UPDATES (90%);  GENERAL PARTNERSHIPS (90%);  DIGITAL ASSETS (89%);  CHILDREN  ADOLESCENTS &amp; TEENS (88%);  VOICE RECOGNITION (88%);  EXECUTIVES (87%);  ARTIFICIAL INTELLIGENCE (83%);  COMPANY STRATEGY (78%);  FINANCIAL MARKETS &amp; INVESTING (78%);  DIGITAL CURRENCY (77%);  DELISTINGS (77%);  PRIVATIZATION (77%);  ASSET MANAGEMENT (77%);  INVESTMENT MANAGEMENT (77%);  SOVEREIGN WEALTH FUNDS (77%);  RETAIL &amp; WHOLESALE TRADE (77%);  DIGITAL ASSET MANAGEMENT (77%);  FOREIGN EXCHANGE MARKETS (77%);  STOCK EXCHANGES (77%);  PRODUCT ENHANCEMENTS (76%);  GOING PRIVATE (75%);  ARTIFICIAL INTELLIGENCE INFRASTRUCTURE (75%);  EMERGING TECHNOLOGY (75%);  DISRUPTIVE INNOVATION (75%);  CHILD DEVELOPMENT (73%);  BANKING &amp; FINANCE (72%);  PATTERN RECOGNITION (63%); DISRUPTIVE INNOVATION (75%); COMPANY STRATEGY (78%); GOING PRIVATE (75%); ARTIFICIAL INTELLIGENCE INFRASTRUCTURE (75%); STOCK EXCHANGES (77%); DIGITAL CURRENCY (77%); PRIVATIZATION (77%); TECHNOLOGY (90%); PRODUCT ENHANCEMENTS (76%); BUSINESS REPORTS &amp; FORECASTS (90%); FINANCING ROUNDS (91%); EQUITY FINANCING (90%); FINANCIAL MARKET UPDATES (90%); EXECUTIVES (87%); DELISTINGS (77%); EMERGING TECHNOLOGY (75%); VOICE RECOGNITION (88%); INVESTMENT MANAGEMENT (77%); CHILD DEVELOPMENT (73%); NEWS BRIEFS (90%); FOREIGN EXCHANGE MARKETS (77%); ARTIFICIAL INTELLIGENCE (83%); FINANCIAL MARKETS &amp; INVESTING (78%); CHILDREN, ADOLESCENTS &amp; TEENS (88%); SOVEREIGN WEALTH FUNDS (77%); GENERAL PARTNERSHIPS (90%); BUSINESS NEWS (90%)</w:t>
      </w:r>
    </w:p>
    <w:p>
      <w:pPr>
        <w:pStyle w:val="Normal"/>
      </w:pPr>
      <w:r>
        <w:t xml:space="preserve">Company:  JANUS HENDERSON GROUP PLC (69%);  SUN HUNG KAI &amp; CO LTD (63%);  GOOGLE LLC (56%);  NEW YORK STOCK EXCHANGE LLC (54%); M13</w:t>
      </w:r>
    </w:p>
    <w:p>
      <w:pPr>
        <w:pStyle w:val="Normal"/>
      </w:pPr>
      <w:r>
        <w:t xml:space="preserve">Ticker: JHG (ASX) (69%); JHG (LSE) (69%); JHG (NYSE) (69%); 0086 (HKSE) (63%); M13</w:t>
      </w:r>
    </w:p>
    <w:p>
      <w:pPr>
        <w:pStyle w:val="Normal"/>
      </w:pPr>
      <w:r>
        <w:t xml:space="preserve">Industry: NAICS523940 PORTFOLIO MANAGEMENT AND INVESTMENT ADVICE (69%); SIC6282 INVESTMENT ADVICE (69%); NAICS523150 INVESTMENT BANKING AND SECURITIES INTERMEDIATION (63%); SIC6211 SECURITY BROKERS, DEALERS, &amp; FLOTATION COMPANIES (63%); NAICS519290 WEB SEARCH PORTALS AND ALL OTHER INFORMATION SERVICES (56%); ASSET MANAGEMENT (77%); ARTIFICIAL INTELLIGENCE INFRASTRUCTURE (75%); STOCK EXCHANGES (77%); DIGITAL CURRENCY (77%); DIGITAL ASSETS (89%); EQUITY FINANCING (90%); FINANCIAL MARKET UPDATES (90%); BANKING &amp; FINANCE (72%); PATTERN RECOGNITION (63%); DELISTINGS (77%); VOICE RECOGNITION (88%); INVESTMENT MANAGEMENT (77%); FOREIGN EXCHANGE MARKETS (77%); ARTIFICIAL INTELLIGENCE (83%); FINANCIAL MARKETS &amp; INVESTING (78%); SOVEREIGN WEALTH FUNDS (77%); DIGITAL ASSET MANAGEMENT (77%); RETAIL &amp; WHOLESALE TRADE (77%); 523910 (%)</w:t>
      </w:r>
    </w:p>
    <w:p>
      <w:pPr>
        <w:pStyle w:val="Normal"/>
      </w:pPr>
      <w:r>
        <w:t xml:space="preserve">Person:  RONALD L NELSON (50%); RONALD L NELSON (50%)</w:t>
      </w:r>
    </w:p>
    <w:p>
      <w:pPr>
        <w:pStyle w:val="Normal"/>
      </w:pPr>
      <w:r>
        <w:t xml:space="preserve">Geographic:  LONDON, ENGLAND (54%); LONDON, ENGLAND (54%); United States; United States</w:t>
      </w:r>
    </w:p>
    <w:p>
      <w:pPr>
        <w:pStyle w:val="Normal"/>
      </w:pPr>
      <w:r>
        <w:t xml:space="preserve">Load-Date: July 10, 2026</w:t>
      </w:r>
    </w:p>
    <w:p>
      <w:pPr>
        <w:pStyle w:val="Normal"/>
      </w:pPr>
      <w:r>
        <w:t xml:space="preserve">End of Document</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xmlns:w="http://schemas.openxmlformats.org/wordprocessingml/2006/main" w:percent="180"/>
  <w:defaultTabStop xmlns:w="http://schemas.openxmlformats.org/wordprocessingml/2006/main" w:val="708"/>
  <w:hyphenationZone xmlns:w="http://schemas.openxmlformats.org/wordprocessingml/2006/main" w:val="425"/>
  <w:characterSpacingControl w:val="doNotCompress"/>
  <w:compat xmlns:w="http://schemas.openxmlformats.org/wordprocessingml/2006/main">
    <w:compatSetting w:name="compatibilityMode" w:uri="http://schemas.microsoft.com/office/word" w:val="15"/>
  </w:compat>
  <w:rsids>
    <w:rsidRoot w:val="00B4379D"/>
    <w:rsid w:val="00036527"/>
    <w:rsid w:val="00073835"/>
    <w:rsid w:val="001379FE"/>
    <w:rsid w:val="001C0A13"/>
    <w:rsid w:val="001D75AB"/>
    <w:rsid w:val="0035500D"/>
    <w:rsid w:val="00362E65"/>
    <w:rsid w:val="004158F9"/>
    <w:rsid w:val="00457CF1"/>
    <w:rsid w:val="00747CCE"/>
    <w:rsid w:val="007B3E96"/>
    <w:rsid w:val="008F1F48"/>
    <w:rsid w:val="00901463"/>
    <w:rsid w:val="00946CB3"/>
    <w:rsid w:val="00AE18EF"/>
    <w:rsid w:val="00AE1BDD"/>
    <w:rsid w:val="00B3547C"/>
    <w:rsid w:val="00B4379D"/>
    <w:rsid w:val="00C27329"/>
    <w:rsid w:val="00C31EEB"/>
    <w:rsid w:val="00F12158"/>
    <w:rsid w:val="00FB63E7"/>
    <w:rsid w:val="00FC557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xmlns:w="http://schemas.openxmlformats.org/wordprocessingml/2006/main" w:val=","/>
  <w:listSeparator xmlns:w="http://schemas.openxmlformats.org/wordprocessingml/2006/main" w:val=";"/>
  <w14:defaultImageDpi w14:val="300"/>
  <w15:docId w15:val="{82A812A4-2F41-F746-AAB1-47BA7D9E84C6}"/>
  <w:evenAndOddHeaders xmlns:w="http://schemas.openxmlformats.org/wordprocessingml/2006/main"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
  <cp:revision>9</cp:revision>
  <dcterms:created xsi:type="dcterms:W3CDTF">2017-02-28T11:18:00Z</dcterms:created>
  <dcterms:modified xsi:type="dcterms:W3CDTF">2026-10-22T20:15:03Z</dcterms:modified>
  <cp:category/>
</cp:coreProperties>
</file>