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11, 2026 Saturday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1722 words</w:t>
      </w:r>
    </w:p>
    <w:p>
      <w:pPr>
        <w:pStyle w:val="Normal"/>
      </w:pPr>
      <w:r>
        <w:t xml:space="preserve">Body</w:t>
      </w:r>
    </w:p>
    <w:p>
      <w:pPr>
        <w:pStyle w:val="Normal"/>
      </w:pPr>
      <w:r>
        <w:t xml:space="preserve">M13, the early-stage venture capital firm co-founded by brothers Carter and Courtney Reum, has continued to make strategic moves in the technology investment space, most recently co-leading a Series A funding round for digital asset platform OpenFX. The firm, which operates as a full-stack collaborator with a team of full-time operators providing strategic guidance and resources, focuses on seed and Series A investments in disruptive software companies. Alongside M13's own activity, peer firms General Catalyst and Lightspeed Venture Partners have each recorded notable developments spanning asset management privatization, AI-focused seed funding, accessibility technology, executive appointments, and secondary market share sales.</w:t>
      </w:r>
    </w:p>
    <w:p>
      <w:pPr>
        <w:pStyle w:val="Normal"/>
      </w:pPr>
      <w:r>
        <w:t xml:space="preserve">M13 General Partner Latif Peracha announced on April 15, 2026, the firm's decision to co-lead OpenFX's Series A funding round. Peracha stated that M13's involvement is driven by a shared vision of enhancing the trading experience for both retail and institutional investors, with OpenFX's platform specifically targeting persistent pain points in foreign exchange markets, including high transaction fees and slow settlement times. According to Peracha, the funding is intended to bolster OpenFX's technological infrastructure and expand its market reach as digital finance continues to evolve. M13's expertise in scaling technology companies was cited as a key resource for OpenFX as it pursues growth in the digital currency ecosystem. The capital raised is earmarked for new product features designed to serve an expanding user base, with M13's strategic guidance expected to play a central role in driving both user acquisition and retention.</w:t>
      </w:r>
    </w:p>
    <w:p>
      <w:pPr>
        <w:pStyle w:val="Normal"/>
      </w:pPr>
      <w:r>
        <w:t xml:space="preserve">Separately, Givaudan S.A. unveiled the Scentaurus M13, an AI-driven analytical instrument designed to quantify malodor molecules associated with pet and household odors. The product hit the market and generated a positive investor reaction, with Givaudan shares (ISIN CH0010645932) recording a notable uptick on June 27, 2026. Product Manager Dr. Marie Dupont described the Scentaurus platform as functioning like a "trained nose with a repeat button," integrating advanced pattern-recognition algorithms with Givaudan's extensive fragrance library to detect subtle variations in malodor intensity, particularly volatile sulfur compounds that human sensory panels may miss. CEO Gilles Andrier has emphasized that the data-driven nature of the instrument will differentiate Givaudan from competitors, especially as retailers increasingly demand verifiable product performance claims. The device is positioned to shorten formulation development cycles for cleaning and deodorizing products, though Givaudan acknowledges it is designed to complement, rather than replace, traditional sensory evaluation methods and complex analytical tools.</w:t>
      </w:r>
    </w:p>
    <w:p>
      <w:pPr>
        <w:pStyle w:val="Normal"/>
      </w:pPr>
      <w:r>
        <w:t xml:space="preserve">Also in the broader scientific landscape touching the M13 designation, Shirley, New York-based Creative Biolabs announced on April 30, 2026, upgrades to both its lambda and M13 phage display platforms, targeting advances in biotherapeutic research. The upgraded lambda phage genome library platform now accommodates large DNA inserts of up to 25 kilobases, supported by acoustic DNA shearing for controlled fragmentation, optimized size-selection workflows, and ultra-efficient in vitro packaging extracts achieving titers exceeding ten plaque-forming units per microgram of DNA. The enhanced M13 phage display platform supports ultra-diverse libraries reaching up to ten-to-the-tenth unique variants, with multiple display formats including pIII monovalent and pVIII multivalent configurations, alongside Trimer Codon Technology designed to eliminate stop codons and ensure uniform amino acid distribution. A Creative Biolabs spokesperson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Turning to peer activity, General Catalyst finalized a landmark take-private transaction involving Janus Henderson Group Ltd. on June 30, 2026, alongside Trian Fund Management and Qatar Investment Authority. Under the terms of the deal, Janus Henderson's public shares were converted to cash at $52.00 per share and delisted from the New York Stock Exchange. Janus Henderson CEO Ali Dibadj expressed confidence in the transition, citing transformative opportunities in partnership with Trian and General Catalyst across investment solutions, technology, and talent development. The firm retains its operational presence in London and Denver under its current management structure. General Catalyst CEO Hemant Taneja stated the firm's commitment to enhancing Janus Henderson's technological capabilities and overall growth strategy. Trian's CEO Nelson Peltz noted the considerable progress Janus Henderson has made since Trian's initial investment in 2020. The transaction was backed by a broader investor group that includes MassMutual and Sun Hung Kai &amp; Co.</w:t>
      </w:r>
    </w:p>
    <w:p>
      <w:pPr>
        <w:pStyle w:val="Normal"/>
      </w:pPr>
      <w:r>
        <w:t xml:space="preserve">General Catalyst also participated in a $1.5 million seed funding round for Gurugram-based Omli, announced on June 17, 2026, alongside lead investor India Quotient. Founded in 2025 by Shivam Munshi and Siddhant Garg, Omli develops AI infrastructure specifically designed for children's speech and language development, addressing a recognized gap in commercial speech recognition systems that are predominantly trained on adult voice data. The company's flagship application, OmliKids, allows children aged three to ten to engage in voice-based conversations with an AI companion named Doro and has already recorded over 500,000 downloads on the Google Play Store since launch. To improve accuracy, Omli developed VedAnsh-v1, a proprietary speech-to-text and voice activity detection model tailored to children's speech patterns, including support for Indian accents and vernacular languages. Co-founder Siddhant Garg stated the company's ambition to achieve adult-grade accuracy in children's speech recognition. India Quotient's Madhukar characterized children as the largest consumer segment for which AI solutions remain largely undeveloped, underscoring investor confidence in the market opportunity.</w:t>
      </w:r>
    </w:p>
    <w:p>
      <w:pPr>
        <w:pStyle w:val="Normal"/>
      </w:pPr>
      <w:r>
        <w:t xml:space="preserve">General Catalyst's Customer Value Fund led an $85 million growth round for Rylo, formerly known as Nagish, with participation from Canaan, Vertex Ventures, and Contour. The round pushes Rylo's total funding beyond $100 million. Headquartered in Tel Aviv and New York, Rylo develops AI-powered communication solutions for Deaf and hard-of-hearing individuals, offering real-time captioning for phone calls, speech-to-text conversion, text-to-speech capabilities, and in-person transcription. Following its acquisition of Sign.mt in 2025, Rylo launched Rylo Sign, enabling real-time translation between spoken and sign languages. Additional AI capabilities include speaker recognition, sentiment analysis, and fraud detection. The newly raised capital will fund expansion of Rylo's engineering, product development, and commercial operations teams, as well as AI research, infrastructure development, and new workplace accessibility solutions.</w:t>
      </w:r>
    </w:p>
    <w:p>
      <w:pPr>
        <w:pStyle w:val="Normal"/>
      </w:pPr>
      <w:r>
        <w:t xml:space="preserve">Lightspeed Venture Partners, through its Lightspeed Opportunity Fund, L.P., reported the divestiture of approximately $15.1 million in Netskope Inc. (NASDAQ: NTSK) Class A common stock across two transactions in June 2026, according to a recent SEC filing. On June 12, 2026, Lightspeed Opportunity Fund converted 1,650,000 shares of Class B common stock into Class A shares and subsequently sold 1,313,827 Class A shares at a weighted average price of $9.19 per share. On June 15, 2026, the fund sold an additional 336,173 Class A shares at a weighted average price of $9.00 per share, bringing total proceeds to $15,099,627. Following these transactions, Lightspeed Opportunity Fund holds no remaining Class A common stock in Netskope. Other Lightspeed entities collectively retained 62,843,207 shares of Class B common stock as of June 12, 2026, convertible into Class A shares on a one-for-one basis at the holder's option or automatically on September 19, 2035. The sales occurred as Netskope shares traded near $8.95, approximately 60% below their 52-week high and close to the 52-week low of $7.67. Netskope reported annual recurring revenue of $845 million, up 29% year-over-year, and total revenue of approximately $202 million, representing 28% year-over-year growth. Analyst price target adjustments followed the results, with TD Cowen reducing its target from $25 to $19 while maintaining a Buy rating, BMO Capital and RBC Capital lowering their targets to $13 with Outperform ratings, Piper Sandler reducing its target to $18, and Mizuho cutting its target to $13.</w:t>
      </w:r>
    </w:p>
    <w:p>
      <w:pPr>
        <w:pStyle w:val="Normal"/>
      </w:pPr>
      <w:r>
        <w:t xml:space="preserve">Lightspeed Venture Partners also appointed Rohit Kaul as its new marketing head, a move that comes as the firm prepares to raise its fifth India and Southeast Asia-focused fund, reportedly targeting approximately $500 million. Kaul previously served as Vice President of Marketing at Blume Ventures from February 2023, with additional experience at Sacra and HCL. His appointment follows the departure of former VP of Marketing and Communications Mansi Chugh after nearly four years in the role, and an earlier exit by Carina Chopra after three and a half years. Lightspeed has established a prominent position in India's startup ecosystem through investments in companies including OYO, Udaan, ShareChat, PhysicsWallah, and Pocket FM. Neither Kaul nor Lightspeed Venture Partners responded to queries prior to publication.</w:t>
      </w:r>
    </w:p>
    <w:p>
      <w:pPr>
        <w:pStyle w:val="Normal"/>
      </w:pPr>
      <w:r>
        <w:t xml:space="preserve">Lightspeed Venture Partners additionally participated in consecutive funding rounds for an unnamed startup operating in the agent evaluation sector, with the investment publicly acknowledged on May 13, 2026. The startup has developed a platform aimed at streamlining agent performance assessments. Lightspeed's back-to-back funding participation signals growing conviction in the potential for technology-driven improvements to traditional evaluation processes. The capital is expected to support product expansion, technological development, and marketing initiatives designed to build brand presence in a competitive market.</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FINANCING ROUNDS (91%);  TECHNOLOGY (90%);  DIGITAL ASSETS (90%);  BUSINESS REPORTS &amp; FORECASTS (90%);  EQUITY FINANCING (90%);  FINANCIAL MARKET UPDATES (90%);  VENTURE CAPITAL (90%);  EXECUTIVES (89%);  RETAIL &amp; WHOLESALE TRADE (89%);  FINANCIAL TECHNOLOGY (78%);  PRODUCT MANAGEMENT (78%);  INFORMATION TECHNOLOGY INDUSTRY (78%);  SOFTWARE SERVICES &amp; APPLICATIONS (78%);  GENERAL PARTNERSHIPS (78%);  ASSET MANAGEMENT (77%);  CHEMICALS (77%);  DIGITAL ASSET MANAGEMENT (77%);  MANAGERS &amp; SUPERVISORS (76%);  APPOINTMENTS (76%);  EXECUTIVE MOVES (74%);  MARKET SHARE (74%);  NEW PRODUCTS (74%);  RETAILERS (74%);  PHYSICAL SENSES (73%);  DIGITAL CURRENCY (72%);  FOREIGN EXCHANGE MARKETS (72%);  SOFTWARE MAKERS (71%);  PATTERN RECOGNITION (70%);  PROSTHETIC &amp; ASSISTIVE DEVICES (69%);  DNA (62%);  COMPUTER SOFTWARE (56%); DNA (62%); NEW PRODUCTS (74%); APPOINTMENTS (76%); EXECUTIVE MOVES (74%); DIGITAL CURRENCY (72%); TECHNOLOGY (91%); BUSINESS REPORTS &amp; FORECASTS (90%); FINANCING ROUNDS (92%); EQUITY FINANCING (90%); FINANCIAL MARKET UPDATES (90%); EXECUTIVES (89%); PRODUCT MANAGEMENT (78%); PROSTHETIC &amp; ASSISTIVE DEVICES (69%); VENTURE CAPITAL (93%); FOREIGN EXCHANGE MARKETS (72%); PHYSICAL SENSES (73%); MANAGERS &amp; SUPERVISORS (76%); GENERAL PARTNERSHIPS (78%); FINANCIAL TECHNOLOGY (78%)</w:t>
      </w:r>
    </w:p>
    <w:p>
      <w:pPr>
        <w:pStyle w:val="Normal"/>
      </w:pPr>
      <w:r>
        <w:t xml:space="preserve">Company:  GIVAUDAN SA (82%);  STACK INFRASTRUCTURE INC (72%); M13</w:t>
      </w:r>
    </w:p>
    <w:p>
      <w:pPr>
        <w:pStyle w:val="Normal"/>
      </w:pPr>
      <w:r>
        <w:t xml:space="preserve">Ticker: GIVN (SWX) (82%); M13</w:t>
      </w:r>
    </w:p>
    <w:p>
      <w:pPr>
        <w:pStyle w:val="Normal"/>
      </w:pPr>
      <w:r>
        <w:t xml:space="preserve">Industry: NAICS325620 TOILET PREPARATION MANUFACTURING (82%); SIC2869 INDUSTRIAL ORGANIC CHEMICALS, NEC (82%); NAICS531210 OFFICES OF REAL ESTATE AGENTS &amp; BROKERS (72%); NAICS518210 COMPUTING INFRASTRUCTURE PROVIDERS, DATA PROCESSING, WEB HOSTING, AND RELATED SERVICES (72%); SIC7374 COMPUTER PROCESSING &amp; DATA PREPARATION &amp; PROCESSING SERVICES (72%); SIC6531 REAL ESTATE AGENTS &amp; MANAGERS (72%); NEW PRODUCTS (74%); ASSET MANAGEMENT (77%); DIGITAL CURRENCY (72%); RETAILERS (74%); CHEMICALS (77%); COMPUTER SOFTWARE (56%); DIGITAL ASSETS (90%); SOFTWARE MAKERS (71%); EQUITY FINANCING (90%); FINANCIAL MARKET UPDATES (90%); PATTERN RECOGNITION (70%); PROSTHETIC &amp; ASSISTIVE DEVICES (69%); VENTURE CAPITAL (93%); SOFTWARE SERVICES &amp; APPLICATIONS (78%); FOREIGN EXCHANGE MARKETS (72%); FINANCIAL TECHNOLOGY (78%); MARKET SHARE (74%); DIGITAL ASSET MANAGEMENT (77%); RETAIL &amp; WHOLESALE TRADE (89%); CHEMICALS OVERVIEW (77%); INFORMATION TECHNOLOGY INDUSTRY (78%); 523910 (%)</w:t>
      </w:r>
    </w:p>
    <w:p>
      <w:pPr>
        <w:pStyle w:val="Normal"/>
      </w:pPr>
      <w:r>
        <w:t xml:space="preserve">Geographic:  NEW YORK, USA (70%); NEW YORK, USA (70%);  UNITED STATES (70%); United States; United States</w:t>
      </w:r>
    </w:p>
    <w:p>
      <w:pPr>
        <w:pStyle w:val="Normal"/>
      </w:pPr>
      <w:r>
        <w:t xml:space="preserve">Load-Date: July 11,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2026-10-22T20:15:01Z</dcterms:modified>
  <cp:category/>
</cp:coreProperties>
</file>