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20, 2026 Saturday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653 words</w:t>
      </w:r>
    </w:p>
    <w:p>
      <w:pPr>
        <w:pStyle w:val="Normal"/>
      </w:pPr>
      <w:r>
        <w:t xml:space="preserve">Body</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INDEX</w:t>
      </w:r>
    </w:p>
    <w:p>
      <w:pPr>
        <w:pStyle w:val="Normal"/>
      </w:pPr>
      <w:r>
        <w:t xml:space="preserve">SECTION 1 GENERAL CATALYST PROFILE</w:t>
      </w:r>
    </w:p>
    <w:p>
      <w:pPr>
        <w:pStyle w:val="Normal"/>
      </w:pPr>
      <w:r>
        <w:t xml:space="preserve">SECTION 2 GENERAL CATALYST TOP MANAGEMENT</w:t>
      </w:r>
    </w:p>
    <w:p>
      <w:pPr>
        <w:pStyle w:val="Normal"/>
      </w:pPr>
      <w:r>
        <w:t xml:space="preserve">SECTION 1 GENERAL CATALYST PROFILE</w:t>
      </w:r>
    </w:p>
    <w:p>
      <w:pPr>
        <w:pStyle w:val="Normal"/>
      </w:pPr>
      <w:r>
        <w:t xml:space="preserve">1.1 ACTIVITIES</w:t>
      </w:r>
    </w:p>
    <w:p>
      <w:pPr>
        <w:pStyle w:val="Normal"/>
      </w:pPr>
      <w:r>
        <w:t xml:space="preserve">General Catalyst, established in 2000 and headquartered in Cambridge, Massachusetts, operates as a leading global investment and transformation firm dedicated to partnering with visionary entrepreneurs. Its core business activities revolve around providing venture capital across all stages-from seed funding to growth equity-while offering strategic advisory services, operational expertise, and ecosystem integration to cultivate resilient enterprises. The firm invests in a broad spectrum of sectors, including healthcare, financial technology, defense, industrials, climate, and energy, with a strong emphasis on fostering innovation that yields both financial returns and societal benefits. Among its fastest-growing segments, applied artificial intelligence emerges prominently, fueled by a landmark $8 billion capital commitment in October 2024 to accelerate AI-centric startups and transformations. Managing over $30 billion in assets, General Catalyst''s portfolio includes transformative companies such as Airbnb and Stripe, underscoring its pivotal role in scaling high-impact ventures worldwide.</w:t>
      </w:r>
    </w:p>
    <w:p>
      <w:pPr>
        <w:pStyle w:val="Normal"/>
      </w:pPr>
      <w:r>
        <w:t xml:space="preserve">1.2 SUMMARY</w:t>
      </w:r>
    </w:p>
    <w:p>
      <w:pPr>
        <w:pStyle w:val="Normal"/>
      </w:pPr>
      <w:r>
        <w:t xml:space="preserve">PermID: 4297042748</w:t>
      </w:r>
    </w:p>
    <w:p>
      <w:pPr>
        <w:pStyle w:val="Normal"/>
      </w:pPr>
      <w:r>
        <w:t xml:space="preserve">Website: /</w:t>
      </w:r>
    </w:p>
    <w:p>
      <w:pPr>
        <w:pStyle w:val="Normal"/>
      </w:pPr>
      <w:r>
        <w:t xml:space="preserve">SECTION 2 GENERAL CATALYST TOP MANAGEMENT</w:t>
      </w:r>
    </w:p>
    <w:p>
      <w:pPr>
        <w:pStyle w:val="Normal"/>
      </w:pPr>
      <w:r>
        <w:t xml:space="preserve">*| Name | Designation | </w:t>
      </w:r>
    </w:p>
    <w:p>
      <w:pPr>
        <w:pStyle w:val="Normal"/>
      </w:pPr>
      <w:r>
        <w:t xml:space="preserve">*| Bob Thornton | CEO | </w:t>
      </w:r>
    </w:p>
    <w:p>
      <w:pPr>
        <w:pStyle w:val="Normal"/>
      </w:pPr>
      <w:r>
        <w:t xml:space="preserve">*| Ken Chenault | Chairman &amp; Managing Director | </w:t>
      </w:r>
    </w:p>
    <w:p>
      <w:pPr>
        <w:pStyle w:val="Normal"/>
      </w:pPr>
      <w:r>
        <w:t xml:space="preserve">*| Paul Fielding | CFO | </w:t>
      </w:r>
    </w:p>
    <w:p>
      <w:pPr>
        <w:pStyle w:val="Normal"/>
      </w:pPr>
      <w:r>
        <w:t xml:space="preserve">*| Yuri Sagalov | Managing Director | </w:t>
      </w:r>
    </w:p>
    <w:p>
      <w:pPr>
        <w:pStyle w:val="Normal"/>
      </w:pPr>
      <w:r>
        <w:t xml:space="preserve">*| Madhu Namburi | Managing Director | </w:t>
      </w:r>
    </w:p>
    <w:p>
      <w:pPr>
        <w:pStyle w:val="Normal"/>
      </w:pPr>
      <w:r>
        <w:t xml:space="preserve">*| Marc Bhargava | Managing Director | </w:t>
      </w:r>
    </w:p>
    <w:p>
      <w:pPr>
        <w:pStyle w:val="Normal"/>
      </w:pPr>
      <w:r>
        <w:t xml:space="preserve">*| Neeraj Arora | Managing Director | </w:t>
      </w:r>
    </w:p>
    <w:p>
      <w:pPr>
        <w:pStyle w:val="Normal"/>
      </w:pPr>
      <w:r>
        <w:t xml:space="preserve">*| Paul Kwan | Managing Director | </w:t>
      </w:r>
    </w:p>
    <w:p>
      <w:pPr>
        <w:pStyle w:val="Normal"/>
      </w:pPr>
      <w:r>
        <w:t xml:space="preserve">*| Pranav Singhvi | Managing Director | </w:t>
      </w:r>
    </w:p>
    <w:p>
      <w:pPr>
        <w:pStyle w:val="Normal"/>
      </w:pPr>
      <w:r>
        <w:t xml:space="preserve">*| Quentin Clark | Managing Director | </w:t>
      </w:r>
    </w:p>
    <w:p>
      <w:pPr>
        <w:pStyle w:val="Normal"/>
      </w:pPr>
      <w:r>
        <w:t xml:space="preserve">*| Trevor Oelschig | Managing Director | </w:t>
      </w:r>
    </w:p>
    <w:p>
      <w:pPr>
        <w:pStyle w:val="Normal"/>
      </w:pPr>
      <w:r>
        <w:t xml:space="preserve">*| Alex Tran | Managing Director | </w:t>
      </w:r>
    </w:p>
    <w:p>
      <w:pPr>
        <w:pStyle w:val="Normal"/>
      </w:pPr>
      <w:r>
        <w:t xml:space="preserve">*| Chris Bischoff | Managing Director | </w:t>
      </w:r>
    </w:p>
    <w:p>
      <w:pPr>
        <w:pStyle w:val="Normal"/>
      </w:pPr>
      <w:r>
        <w:t xml:space="preserve">*| David Fialkow | Managing Director &amp; Co-Founder | </w:t>
      </w:r>
    </w:p>
    <w:p>
      <w:pPr>
        <w:pStyle w:val="Normal"/>
      </w:pPr>
      <w:r>
        <w:t xml:space="preserve">*| Elena Viboch | Managing Director | </w:t>
      </w:r>
    </w:p>
    <w:p>
      <w:pPr>
        <w:pStyle w:val="Normal"/>
      </w:pPr>
      <w:r>
        <w:t xml:space="preserve">*| Holly Maloney | Managing Director &amp; Head of Health Assurance | </w:t>
      </w:r>
    </w:p>
    <w:p>
      <w:pPr>
        <w:pStyle w:val="Normal"/>
      </w:pPr>
      <w:r>
        <w:t xml:space="preserve">*| Jeannette zu Furstenberg | Managing Director | </w:t>
      </w:r>
    </w:p>
    <w:p>
      <w:pPr>
        <w:pStyle w:val="Normal"/>
      </w:pPr>
      <w:r>
        <w:t xml:space="preserve">*| Joel Cutler | Managing Director &amp; Co-Founder | </w:t>
      </w:r>
    </w:p>
    <w:p>
      <w:pPr>
        <w:pStyle w:val="Normal"/>
      </w:pPr>
      <w:r>
        <w:t xml:space="preserve">*| KV Mohan | Managing Director | </w:t>
      </w:r>
    </w:p>
    <w:p>
      <w:pPr>
        <w:pStyle w:val="Normal"/>
      </w:pPr>
      <w:r>
        <w:t xml:space="preserve">*| Larry Bohn | Managing Director | </w:t>
      </w:r>
    </w:p>
    <w:p>
      <w:pPr>
        <w:pStyle w:val="Normal"/>
      </w:pPr>
      <w:r>
        <w:t xml:space="preserve">*| Hirsh Jain | Co-Founder | </w:t>
      </w:r>
    </w:p>
    <w:p>
      <w:pPr>
        <w:pStyle w:val="Normal"/>
      </w:pPr>
      <w:r>
        <w:t xml:space="preserve">*| Athul Jacob | Co-Founder &amp; Chief AI Officer | </w:t>
      </w:r>
    </w:p>
    <w:p>
      <w:pPr>
        <w:pStyle w:val="Normal"/>
      </w:pPr>
      <w:r>
        <w:t xml:space="preserve">*| Thomas Mathew | Co-Founder | </w:t>
      </w:r>
    </w:p>
    <w:p>
      <w:pPr>
        <w:pStyle w:val="Normal"/>
      </w:pPr>
      <w:r>
        <w:t xml:space="preserve">PermID: 4297042748</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BARD_Snippets</w:t>
      </w:r>
    </w:p>
    <w:p>
      <w:pPr>
        <w:pStyle w:val="Normal"/>
      </w:pPr>
      <w:r>
        <w:t xml:space="preserve">Publication-Type: Newswire</w:t>
      </w:r>
    </w:p>
    <w:p>
      <w:pPr>
        <w:pStyle w:val="Normal"/>
      </w:pPr>
      <w:r>
        <w:t xml:space="preserve">Subject:  ARTIFICIAL INTELLIGENCE (90%);  FINANCING ROUNDS (90%);  PROSTHETIC &amp; ASSISTIVE DEVICES (90%);  BUSINESS REPORTS &amp; FORECASTS (90%);  FINANCIAL MARKET UPDATES (90%);  MANAGERS &amp; SUPERVISORS (89%);  TECHNOLOGY (89%);  INNOVATION (89%);  EXECUTIVES (86%);  COMPANY STRATEGY (78%);  BUSINESS OPERATIONS (78%);  FINANCIAL TECHNOLOGY (78%);  SOCIETY  SOCIAL ASSISTANCE &amp; LIFESTYLE (78%);  COMPANY ACTIVITIES &amp; MANAGEMENT (78%);  USABILITY (78%);  ON DEMAND SERVICES (78%);  CUSTOMER RELATIONS (78%);  VENTURE CAPITAL (78%);  BUSINESS NEWS (77%);  ENTREPRENEURSHIP (77%);  INFORMATION TECHNOLOGY INDUSTRY (77%);  DEAFNESS (77%);  DISABLED ACCESS (77%);  PATTERN RECOGNITION (77%);  FOREIGN INVESTMENT (77%);  AI GENERATED AUDIO (77%);  PRODUCT MANAGEMENT (76%);  DISABLED PERSONS (76%);  VOICE RECOGNITION (76%);  COMPUTER TELEPHONY (75%);  PRODUCT DEVELOPMENT (74%);  ACCESSIBLE WORKPLACE (71%);  MANUFACTURING OUTPUT (71%);  ECONOMIC DEVELOPMENT (70%);  GLOBALIZATION (70%);  ALLIANCES &amp; PARTNERSHIPS (58%); CUSTOMER RELATIONS (78%); COMPANY STRATEGY (78%); MANUFACTURING OUTPUT (71%); AI GENERATED AUDIO (77%); PRODUCT DEVELOPMENT (74%); TECHNOLOGY (89%); BUSINESS REPORTS &amp; FORECASTS (90%); INNOVATION (89%); FINANCING ROUNDS (90%); ACCESSIBLE WORKPLACE (71%); FINANCIAL MARKET UPDATES (90%); BUSINESS OPERATIONS (78%); VOICE RECOGNITION (76%); COMPANY ACTIVITIES &amp; MANAGEMENT (78%); PRODUCT MANAGEMENT (76%); PROSTHETIC &amp; ASSISTIVE DEVICES (90%); VENTURE CAPITAL (78%); DEAFNESS (77%); USABILITY (78%); SOCIETY, SOCIAL ASSISTANCE &amp; LIFESTYLE (78%); GLOBALIZATION (70%); ARTIFICIAL INTELLIGENCE (89%); ALLIANCES &amp; PARTNERSHIPS (58%); BUSINESS NEWS (77%); FINANCIAL TECHNOLOGY (78%); FOREIGN INVESTMENT (77%); DISABLED ACCESS (77%); DISABLED PERSONS (76%); ECONOMIC DEVELOPMENT (70%); ENTREPRENEURSHIP (77%); Company Activities (%); Company Summary (%); TOP MANAGEMENT (%)</w:t>
      </w:r>
    </w:p>
    <w:p>
      <w:pPr>
        <w:pStyle w:val="Normal"/>
      </w:pPr>
      <w:r>
        <w:t xml:space="preserve">Company: General Catalyst</w:t>
      </w:r>
    </w:p>
    <w:p>
      <w:pPr>
        <w:pStyle w:val="Normal"/>
      </w:pPr>
      <w:r>
        <w:t xml:space="preserve">Ticker: GENERALCATALYST</w:t>
      </w:r>
    </w:p>
    <w:p>
      <w:pPr>
        <w:pStyle w:val="Normal"/>
      </w:pPr>
      <w:r>
        <w:t xml:space="preserve">Industry: ON DEMAND SERVICES (78%); MANUFACTURING OUTPUT (71%); AI GENERATED AUDIO (77%); FINANCIAL MARKET UPDATES (90%); PATTERN RECOGNITION (77%); VOICE RECOGNITION (76%); PROSTHETIC &amp; ASSISTIVE DEVICES (90%); VENTURE CAPITAL (78%); COMPUTER TELEPHONY (75%); USABILITY (78%); ARTIFICIAL INTELLIGENCE (89%); FINANCIAL TECHNOLOGY (78%); DISABLED ACCESS (77%); INFORMATION TECHNOLOGY INDUSTRY (77%); 523910 (%)</w:t>
      </w:r>
    </w:p>
    <w:p>
      <w:pPr>
        <w:pStyle w:val="Normal"/>
      </w:pPr>
      <w:r>
        <w:t xml:space="preserve">Person:  KENNETH I CHENAULT (50%)</w:t>
      </w:r>
    </w:p>
    <w:p>
      <w:pPr>
        <w:pStyle w:val="Normal"/>
      </w:pPr>
      <w:r>
        <w:t xml:space="preserve">Geographic:  TEL AVIV, ISRAEL (73%); TEL AVIV, ISRAEL (72%);  MASSACHUSETTS, USA (79%); MASSACHUSETTS, USA (79%);  UNITED STATES (79%);  ISRAEL (73%); United States; United States</w:t>
      </w:r>
    </w:p>
    <w:p>
      <w:pPr>
        <w:pStyle w:val="Normal"/>
      </w:pPr>
      <w:r>
        <w:t xml:space="preserve">Load-Date: June 20,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2026-10-22T20:15:07Z</dcterms:modified>
  <cp:category/>
</cp:coreProperties>
</file>