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8, 2026 Wednesday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2385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[3 News That Matters]</w:t>
      </w:r>
    </w:p>
    <w:p>
      <w:pPr>
        <w:pStyle w:val="Normal"/>
      </w:pPr>
      <w:r>
        <w:t xml:space="preserve">+ GIVAUDAN UNVEILS SCENTAURUS M13: DATA-DRIVEN BREAKTHROUGH IN PET ODOR MANAGEMENT</w:t>
      </w:r>
    </w:p>
    <w:p>
      <w:pPr>
        <w:pStyle w:val="Normal"/>
      </w:pPr>
      <w:r>
        <w:t xml:space="preserve">On 27th June 2026, Givaudan launched the Scentaurus M13, an AI-driven analytic instrument for pet odor control, and shares rose after the announcement.</w:t>
      </w:r>
    </w:p>
    <w:p>
      <w:pPr>
        <w:pStyle w:val="Normal"/>
      </w:pPr>
      <w:r>
        <w:t xml:space="preserve">The M13 quantifies malodor molecules in real time from its sensors, giving formulators objective data that can shorten cleaning-product development cycles.</w:t>
      </w:r>
    </w:p>
    <w:p>
      <w:pPr>
        <w:pStyle w:val="Normal"/>
      </w:pPr>
      <w:r>
        <w:t xml:space="preserve">Product manager Dr. Marie Dupont describes the platform as a 'trained nose with a repeat button', merging pattern-recognition with Givaudan's fragrance library to detect subtle changes in malodor intensity, including volatile sulfur compounds.</w:t>
      </w:r>
    </w:p>
    <w:p>
      <w:pPr>
        <w:pStyle w:val="Normal"/>
      </w:pPr>
      <w:r>
        <w:t xml:space="preserve">CEO Gilles Andrier says the data-driven approach will differentiate the company in a market where retailers demand verifiable claims, and notes the M13 complements rather than replaces traditional sensory panels.</w:t>
      </w:r>
    </w:p>
    <w:p>
      <w:pPr>
        <w:pStyle w:val="Normal"/>
      </w:pPr>
      <w:r>
        <w:t xml:space="preserve">+ CREATIVE BIOLABS UNVEILS ENHANCED LAMBDA AND M13 PHAGE LIBRARIES FOR GENE DISCOVERY</w:t>
      </w:r>
    </w:p>
    <w:p>
      <w:pPr>
        <w:pStyle w:val="Normal"/>
      </w:pPr>
      <w:r>
        <w:t xml:space="preserve">SHIRLEY, NY, April 30, 2026 /24-7PressRelease/-- As the demand for faster gene discovery and efficient biomolecule engineering grows, Creative Biolabs has unveiled upgraded lambda and M13 phage platforms that streamline workflows from genome-scale exploration to high-throughput functional screening. </w:t>
      </w:r>
    </w:p>
    <w:p>
      <w:pPr>
        <w:pStyle w:val="Normal"/>
      </w:pPr>
      <w:r>
        <w:t xml:space="preserve">The high-fidelity lambda genome libraries remain a preferred system for large DNA inserts up to 25 kb, while maintaining stable representation. The company modernized this classical platform with acoustic DNA shearing for controlled fragmentation, optimized size-selection for ideal insert length distribution, and ultra-efficient in vitro packaging extracts delivering titers above 10^9 pfu/ g DNA. </w:t>
      </w:r>
    </w:p>
    <w:p>
      <w:pPr>
        <w:pStyle w:val="Normal"/>
      </w:pPr>
      <w:r>
        <w:t xml:space="preserve">In addition, bias-minimized protocols tailored for complex or non-model organisms enable capture of rare genomic elements and construction of libraries with exceptional complexity, supporting applications like whole-genome mapping, metagenomics, gene discovery, and functional screening. </w:t>
      </w:r>
    </w:p>
    <w:p>
      <w:pPr>
        <w:pStyle w:val="Normal"/>
      </w:pPr>
      <w:r>
        <w:t xml:space="preserve">The upgraded M13 phage display platform supports ultra-diverse libraries often reaching 10^10 to 10^11 unique variants, ideal for identifying high-affinity antibodies, peptides, and other ligands. It offers multiple display formats including pIII monovalent and pVIII multivalent configurations, plus Trimer Codon Technology to eliminate stop codons and ensure uniform amino-acid distribution. </w:t>
      </w:r>
    </w:p>
    <w:p>
      <w:pPr>
        <w:pStyle w:val="Normal"/>
      </w:pPr>
      <w:r>
        <w:t xml:space="preserve">Together, these capabilities position Creative Biolabs’ phage platforms as engines for antibody discovery, epitope mapping, protein engineering, and diagnostic development. "Phage-based technologies continue to shape the future of biotechnology," stated a company spokesperson. "Our upgraded lambda and M13 platforms demonstrate our commitment to delivering advanced, customizable, and reliable tools that enable researchers to achieve meaningful breakthroughs."</w:t>
      </w:r>
    </w:p>
    <w:p>
      <w:pPr>
        <w:pStyle w:val="Normal"/>
      </w:pPr>
      <w:r>
        <w:t xml:space="preserve">+ LATIF PERACHA FRAMES OPENFX SERIES A AS STRATEGIC FIT FOR M13'S TECH-SCALE PLAY</w:t>
      </w:r>
    </w:p>
    <w:p>
      <w:pPr>
        <w:pStyle w:val="Normal"/>
      </w:pPr>
      <w:r>
        <w:t xml:space="preserve">In a statement dated 15th April 2026, Latif Peracha said M13 would co-lead OpenFX's Series A, highlighting a strategic partnership to accelerate OpenFX's growth and product development. The move mirrors a shared view that the OpenFX platform is well positioned to modernize FX trading.</w:t>
      </w:r>
    </w:p>
    <w:p>
      <w:pPr>
        <w:pStyle w:val="Normal"/>
      </w:pPr>
      <w:r>
        <w:t xml:space="preserve">The investment reflects a belief that OpenFX can address persistent frictions in FX trading, including high fees, slow settlement times, and limited transparency, while expanding access for diverse investors.</w:t>
      </w:r>
    </w:p>
    <w:p>
      <w:pPr>
        <w:pStyle w:val="Normal"/>
      </w:pPr>
      <w:r>
        <w:t xml:space="preserve">OpenFX's ongoing expansion in the digital currency ecosystem and rising demand for efficient, transparent FX solutions provide a favorable backdrop for the round. M13's experience in scaling technology companies offers strategic resources to strengthen the platform's infrastructure and broaden its geographic reach.</w:t>
      </w:r>
    </w:p>
    <w:p>
      <w:pPr>
        <w:pStyle w:val="Normal"/>
      </w:pPr>
      <w:r>
        <w:t xml:space="preserve">OpenFX plans to roll out new features and services designed to meet evolving user needs, with the collaboration expected to support go-to-market efforts, user acquisition, and retention as the company grows.</w:t>
      </w:r>
    </w:p>
    <w:p>
      <w:pPr>
        <w:pStyle w:val="Normal"/>
      </w:pPr>
      <w:r>
        <w:t xml:space="preserve">The partnership underscores a broader trend of fintech investors partnering with platform builders to navigate regulatory and competitive landscapes as the market matures.</w:t>
      </w:r>
    </w:p>
    <w:p>
      <w:pPr>
        <w:pStyle w:val="Normal"/>
      </w:pPr>
      <w:r>
        <w:t xml:space="preserve">++++++++++++++++++++++++++++++++++++++++++++++++++++++++++++++++++++++++++++++++++++</w:t>
      </w:r>
    </w:p>
    <w:p>
      <w:pPr>
        <w:pStyle w:val="Normal"/>
      </w:pPr>
      <w:r>
        <w:t xml:space="preserve">+ GENERAL CATALYST [3 News That Matters]</w:t>
      </w:r>
    </w:p>
    <w:p>
      <w:pPr>
        <w:pStyle w:val="Normal"/>
      </w:pPr>
      <w:r>
        <w:t xml:space="preserve">+ JANUS HENDERSON GOES PRIVATE WITH NEW INVESTOR ALLIANCE, LED BY CEO DIBADJ</w:t>
      </w:r>
    </w:p>
    <w:p>
      <w:pPr>
        <w:pStyle w:val="Normal"/>
      </w:pPr>
      <w:r>
        <w:t xml:space="preserve">Janus Henderson Group Ltd. has concluded its take-private transaction with a consortium including Trian Fund Management, General Catalyst Group Management, and the Qatar Investment Authority. The deal, finalized on the 30th of June, 2026, sees the company’s public shares converted into cash at $52.00 per share and the shares delisted from the New York Stock Exchange.</w:t>
      </w:r>
    </w:p>
    <w:p>
      <w:pPr>
        <w:pStyle w:val="Normal"/>
      </w:pPr>
      <w:r>
        <w:t xml:space="preserve">The privatization is designed to sharpen the firm’s focus on the client experience through long-term investments in investment solutions, technology, and talent development. Ali Dibadj will continue as chief executive, and the business will operate from its London and Denver bases as it enters a private phase.</w:t>
      </w:r>
    </w:p>
    <w:p>
      <w:pPr>
        <w:pStyle w:val="Normal"/>
      </w:pPr>
      <w:r>
        <w:t xml:space="preserve">The arrangement brings together activist investor Trian, General Catalyst, and state-backed partners, aiming to bolster the firm’s asset-management capabilities and growth trajectory. The leadership expects to leverage the combined expertise to accelerate technology adoption and enhance product offerings for clients.</w:t>
      </w:r>
    </w:p>
    <w:p>
      <w:pPr>
        <w:pStyle w:val="Normal"/>
      </w:pPr>
      <w:r>
        <w:t xml:space="preserve">The transaction was supported by a broad investor group that includes MassMutual and Sun Hung Kai &amp; Co., with law firms and financial advisers guiding the privatization. The move positions Janus Henderson to compete more effectively in the evolving asset-management landscape.</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w:t>
      </w:r>
    </w:p>
    <w:p>
      <w:pPr>
        <w:pStyle w:val="Normal"/>
      </w:pPr>
      <w:r>
        <w:t xml:space="preserve">+ LIGHTSPEED VENTURE PARTNERS [3 News That Matters]</w:t>
      </w:r>
    </w:p>
    <w:p>
      <w:pPr>
        <w:pStyle w:val="Normal"/>
      </w:pPr>
      <w:r>
        <w:t xml:space="preserve">+ LIGHTSPEED OPPORTUNITY FUND LIQUIDATES NETSKOPE STAKE, REALIZING ABOUT $15.1 MILLION</w:t>
      </w:r>
    </w:p>
    <w:p>
      <w:pPr>
        <w:pStyle w:val="Normal"/>
      </w:pPr>
      <w:r>
        <w:t xml:space="preserve">In a sequence spanning 12th and 15th June 2026, Lightspeed Opportunity Fund, L.P. converted 1,650,000 Netskope Class B shares into Class A shares and then sold 1,313,827 Class A shares at a weighted average price of $9.19 per share as Netskope traded around $8.95, down about 60% over the prior year and near its 52-week low of $7.67. On 15th June 2026, the fund sold a further 336,173 Class A shares at $9.00 each, bringing the total Netskope disposition to $15,099,627 and leaving the fund with no remaining Class A stock. Despite this divestment, other Lightspeed affiliates continue to hold substantial Netskope Class B stock, totaling 62,843,207 shares as of 12th June 2026, with Class B stock convertible to Class A on a one-for-one basis at the holder's option or automatically on 19th September 2035.</w:t>
      </w:r>
    </w:p>
    <w:p>
      <w:pPr>
        <w:pStyle w:val="Normal"/>
      </w:pPr>
      <w:r>
        <w:t xml:space="preserve">+ ROHIT KAUL NAMED MARKETING CHIEF AT LIGHTSPEED VENTURE PARTNERS AS FIRM TARGETS $500 MILLION INDIA-SEA FUND</w:t>
      </w:r>
    </w:p>
    <w:p>
      <w:pPr>
        <w:pStyle w:val="Normal"/>
      </w:pPr>
      <w:r>
        <w:t xml:space="preserve">Lightspeed Venture Partners has named Rohit Kaul as its new head of marketing, a strategic hire as the firm prepares to raise its fifth India and Southeast Asia-focused fund, targeting around $500 million.</w:t>
      </w:r>
    </w:p>
    <w:p>
      <w:pPr>
        <w:pStyle w:val="Normal"/>
      </w:pPr>
      <w:r>
        <w:t xml:space="preserve">Kaul previously served as Vice President of Marketing at Blume Ventures since February 2023.</w:t>
      </w:r>
    </w:p>
    <w:p>
      <w:pPr>
        <w:pStyle w:val="Normal"/>
      </w:pPr>
      <w:r>
        <w:t xml:space="preserve">His background also includes pivotal stints at Sacra and HCL, equipping him with a broad toolkit to strengthen Lightspeed's marketing strategy as the firm deepens its focus on the Indian and Southeast Asian markets.</w:t>
      </w:r>
    </w:p>
    <w:p>
      <w:pPr>
        <w:pStyle w:val="Normal"/>
      </w:pPr>
      <w:r>
        <w:t xml:space="preserve">The appointment comes as Lightspeed navigates a slowdown in startup funding and mounting pressure on portfolio performance in the region.</w:t>
      </w:r>
    </w:p>
    <w:p>
      <w:pPr>
        <w:pStyle w:val="Normal"/>
      </w:pPr>
      <w:r>
        <w:t xml:space="preserve">Lightspeed has built a notable track record in India's startup ecosystem, backing companies such as OYO, Udaan, ShareChat, PhysicsWallah, and Pocket FM, and has undergone several leadership changes within its marketing and communications functions, including the departure of Mansi Chugh and Carina Chopra in recent years. The firm's strategic hire aims to sharpen brand presence and outreach while it pursues fundraising opportunities.</w:t>
      </w:r>
    </w:p>
    <w:p>
      <w:pPr>
        <w:pStyle w:val="Normal"/>
      </w:pPr>
      <w:r>
        <w:t xml:space="preserve">+ LIGHTSPEED INVESTS AGAIN TO ACCELERATE GROWTH OF AGENT-ASSESSMENT PLATFORM</w:t>
      </w:r>
    </w:p>
    <w:p>
      <w:pPr>
        <w:pStyle w:val="Normal"/>
      </w:pPr>
      <w:r>
        <w:t xml:space="preserve">Lightspeed Venture Partners has executed back-to-back investments in a promising agent-evaluation startup, with the funding round publicly disclosed on 13th May 2026. The move highlights Lightspeed's willingness to back early-stage companies addressing inefficiencies in how agents are evaluated.</w:t>
      </w:r>
    </w:p>
    <w:p>
      <w:pPr>
        <w:pStyle w:val="Normal"/>
      </w:pPr>
      <w:r>
        <w:t xml:space="preserve">The startup has developed a platform designed to streamline and upgrade agent assessments, drawing interest from venture capitalists eager to back tech-enabled business operations improvements.</w:t>
      </w:r>
    </w:p>
    <w:p>
      <w:pPr>
        <w:pStyle w:val="Normal"/>
      </w:pPr>
      <w:r>
        <w:t xml:space="preserve">The latest financing will enable the company to broaden its product offerings and enhance its technical capabilities. Lightspeed's track record with disruptive technologies underpins its view that the market for efficient evaluation tools is expanding, and the startup has already generated interest from large firms across several sectors, signaling a robust pipeline.</w:t>
      </w:r>
    </w:p>
    <w:p>
      <w:pPr>
        <w:pStyle w:val="Normal"/>
      </w:pPr>
      <w:r>
        <w:t xml:space="preserve">In addition to scaling, the company plans to invest in marketing to raise brand awareness and secure a stronger foothold in a crowded market. Lightspeed's continued involvement will be instrumental in helping the startup navigate regulatory and competitive challenges and capitalize on new growth opportunities.</w:t>
      </w:r>
    </w:p>
    <w:p>
      <w:pPr>
        <w:pStyle w:val="Normal"/>
      </w:pPr>
      <w:r>
        <w:t xml:space="preserve">Overall, Lightspeed's participation demonstrates its strategy of backing growth-ready, niche-market players. Investors will want to watch this space as technology continues to reshape traditional business practices and create new paths to success.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PRESS RELEASES (90%);  SOFTWARE SERVICES &amp; APPLICATIONS (90%);  FINANCIAL MARKET UPDATES (90%);  PRODUCT MANAGEMENT (89%);  GENES &amp; CHROMOSOMES (88%);  OUTPUT &amp; DEMAND (78%);  RETAIL &amp; WHOLESALE TRADE (78%);  ALLIANCES &amp; PARTNERSHIPS (77%);  TECHNOLOGICAL INNOVATION (77%);  TECHNOLOGY (77%);  CHEMICALS (77%);  COMPUTER SOFTWARE (77%);  SOFTWARE MAKERS (77%);  MANAGERS &amp; SUPERVISORS (73%);  RETAIL MERCHANDISE MANAGEMENT (73%);  PRODUCT DEVELOPMENT (72%);  EXECUTIVES (71%);  POLISHES &amp; SANITATION GOODS (70%);  PLATFORMS &amp; ISSUES (69%);  COURTSHIP &amp; DATING (69%);  CUSTOMER RELATIONS (68%);  BIOTECHNOLOGY &amp; GENETIC SCIENCE (67%);  GENOMICS (66%);  CUSTOMER EXPERIENCE (53%); PLATFORMS &amp; ISSUES (69%); PRODUCT DEVELOPMENT (73%); TECHNOLOGY (77%); COURTSHIP &amp; DATING (69%); PRESS RELEASES (90%); BUSINESS REPORTS &amp; FORECASTS (90%); FINANCING ROUNDS (90%); FINANCIAL MARKET UPDATES (90%); VENTURE CAPITAL (90%); MANAGERS &amp; SUPERVISORS (74%); GENES &amp; CHROMOSOMES (88%); CUSTOMER RELATIONS (69%); GENOMICS (67%); BIOTECHNOLOGY &amp; GENETIC SCIENCE (68%); OUTPUT &amp; DEMAND (76%); INNOVATION (90%); TECHNOLOGICAL INNOVATION (77%); EXECUTIVES (72%); PRODUCT MANAGEMENT (90%); CUSTOMER EXPERIENCE (54%); ARTIFICIAL INTELLIGENCE (90%); ALLIANCES &amp; PARTNERSHIPS (78%)</w:t>
      </w:r>
    </w:p>
    <w:p>
      <w:pPr>
        <w:pStyle w:val="Normal"/>
      </w:pPr>
      <w:r>
        <w:t xml:space="preserve">Company:  STACK INFRASTRUCTURE INC (72%); M13</w:t>
      </w:r>
    </w:p>
    <w:p>
      <w:pPr>
        <w:pStyle w:val="Normal"/>
      </w:pPr>
      <w:r>
        <w:t xml:space="preserve">Ticker: M13</w:t>
      </w:r>
    </w:p>
    <w:p>
      <w:pPr>
        <w:pStyle w:val="Normal"/>
      </w:pPr>
      <w:r>
        <w:t xml:space="preserve">Industry: NAICS531210 OFFICES OF REAL ESTATE AGENTS &amp; BROKERS (72%); NAICS518210 COMPUTING INFRASTRUCTURE PROVIDERS, DATA PROCESSING, WEB HOSTING, AND RELATED SERVICES (72%); SIC7374 COMPUTER PROCESSING &amp; DATA PREPARATION &amp; PROCESSING SERVICES (72%); SIC6531 REAL ESTATE AGENTS &amp; MANAGERS (72%); COMPUTER SOFTWARE (90%); SOFTWARE MAKERS (90%); FINANCIAL MARKET UPDATES (90%); VENTURE CAPITAL (90%); SOFTWARE SERVICES &amp; APPLICATIONS (90%); CHEMICALS (77%); RETAIL MERCHANDISE MANAGEMENT (74%); ARTIFICIAL INTELLIGENCE (90%); RETAIL &amp; WHOLESALE TRADE (77%); POLISHES &amp; SANITATION GOODS (70%); CHEMICALS OVERVIEW (77%); 523910 (%)</w:t>
      </w:r>
    </w:p>
    <w:p>
      <w:pPr>
        <w:pStyle w:val="Normal"/>
      </w:pPr>
      <w:r>
        <w:t xml:space="preserve">Geographic: United States; United States</w:t>
      </w:r>
    </w:p>
    <w:p>
      <w:pPr>
        <w:pStyle w:val="Normal"/>
      </w:pPr>
      <w:r>
        <w:t xml:space="preserve">Load-Date: July 8,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2026-10-22T20:15:15Z</dcterms:modified>
  <cp:category/>
</cp:coreProperties>
</file>