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23, 2026 Tuesday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2505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IDILIO SECURES $5.5M SEED BACKING FROM WNDRCO TO ACCELERATE LATIN AMERICAN MICRODRAMA</w:t>
      </w:r>
    </w:p>
    <w:p>
      <w:pPr>
        <w:pStyle w:val="Normal"/>
      </w:pPr>
      <w:r>
        <w:t xml:space="preserve">WndrCo led a $5.5 million seed round for Idilio, a Latin American microdrama platform, with the announcement coming on 4th June 2026. The investment underscores WndrCo's ongoing interest in tech driven entertainment ventures that blend storytelling with scalable software. </w:t>
      </w:r>
    </w:p>
    <w:p>
      <w:pPr>
        <w:pStyle w:val="Normal"/>
      </w:pPr>
      <w:r>
        <w:t xml:space="preserve">Idilio was co-founded by Gabriela Tafur and Esteban Ramirez and is positioned at the intersection of traditional telenovelas and vertical video formats, powered by an AI engine designed to reduce production costs and timelines. </w:t>
      </w:r>
    </w:p>
    <w:p>
      <w:pPr>
        <w:pStyle w:val="Normal"/>
      </w:pPr>
      <w:r>
        <w:t xml:space="preserve">Since its launch five months ago, the platform has achieved 1.5 million downloads in 93 countries and streamed 40 million episodes. Users are reportedly watching about 50 minutes of Idilio content per day, a level of engagement that stands out in the mobile video space. </w:t>
      </w:r>
    </w:p>
    <w:p>
      <w:pPr>
        <w:pStyle w:val="Normal"/>
      </w:pPr>
      <w:r>
        <w:t xml:space="preserve">Idilio Creators will enable creators to monetize directly on the platform, with 100% of profits going to the creators. The program aims to nurture a Latin American content community that can compete with global players by delivering localized stories. </w:t>
      </w:r>
    </w:p>
    <w:p>
      <w:pPr>
        <w:pStyle w:val="Normal"/>
      </w:pPr>
      <w:r>
        <w:t xml:space="preserve">In addition to WndrCo, the round drew participation from investors such as a16z Speedrun, Goodwater Capital, Precursor Ventures, and fintech executive David Velez, alongside other backers. The backing positions Idilio to scale its AI driven production model across the region.</w:t>
      </w:r>
    </w:p>
    <w:p>
      <w:pPr>
        <w:pStyle w:val="Normal"/>
      </w:pPr>
      <w:r>
        <w:t xml:space="preserve">+ ACCENTURE VENTURES LEADS $110M INVESTMENT IN NETOMI TO ADVANCE ENTERPRISE AGENTIC CX</w:t>
      </w:r>
    </w:p>
    <w:p>
      <w:pPr>
        <w:pStyle w:val="Normal"/>
      </w:pPr>
      <w:r>
        <w:t xml:space="preserve">San Francisco-based Netomi today announced a $110 million funding round led by Accenture Ventures, with additional investments from Adobe Ventures, WndrCo, SLW, NAVER Ventures, Metis Strategy and Fin Capital. The round, disclosed on 6th May 2026, solidifies Netomi’s position as a leading enterprise-grade agentic CX platform with a focus on reliability in mission-critical environments.\n\nThe funding will be used to scale the deployment of AI across digital experiences in multiple industries. Notable clients such as Delta Air Lines, United Airlines, MetLife and Paramount are already using Netomi for chat, email and voice, including its integration within the United Airlines mobile app.\n\nBeyond funding, Accenture has formed a global alliance with Netomi to develop a playbook for enterprise agentic CX deployment, helping Accenture’s clients adopt Netomi’s technology with greater empathy, consistency and intelligence. As Ndidi Oteh, CEO of Accenture Song, notes, \"Netomi's platform strengthens the connection between people and the brands they trust.\"\n\nOpenAI’s case study cited by Netomi highlights its flawless track record deploying agentic systems at scale without failures or regulatory breaches, underscoring its reliability. The investment reflects a wider industry trend toward reliable, production-grade AI in customer experience, aimed at reducing operational complexity and delivering seamless, outcome-driven interactions.\n\nWith a robust client roster and strategic partnerships, Netomi is positioned to redefine enterprise customer engagement in the coming years.</w:t>
      </w:r>
    </w:p>
    <w:p>
      <w:pPr>
        <w:pStyle w:val="Normal"/>
      </w:pPr>
      <w:r>
        <w:t xml:space="preserve">++++++++++++++++++++++++++++++++++++++++++++++++++++++++++++++++++++++++++++++++++++</w:t>
      </w:r>
    </w:p>
    <w:p>
      <w:pPr>
        <w:pStyle w:val="Normal"/>
      </w:pPr>
      <w:r>
        <w:t xml:space="preserve">+ GENERAL CATALYST [3 News That Matters]</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 ROBOTICS STARTUP STANDARD BOTS SECURES UNICORN VALUATION WITH $200 MILLION FUNDING</w:t>
      </w:r>
    </w:p>
    <w:p>
      <w:pPr>
        <w:pStyle w:val="Normal"/>
      </w:pPr>
      <w:r>
        <w:t xml:space="preserve">Standard Bots has joined unicorn ranks after closing a $200 million Series C round co-led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noted for his work with Bowery Farming and LeapPay, has helped steer the company through its latest growth phase.</w:t>
      </w:r>
    </w:p>
    <w:p>
      <w:pPr>
        <w:pStyle w:val="Normal"/>
      </w:pPr>
      <w:r>
        <w:t xml:space="preserve">The AI-native robotic arms learn by demonstration, letting operators teach tasks directly and shaving deployment times and costs. The technology supports use across machining, welding and assembly, with claimed costs about 30% lower than legacy providers. Customers include Amazon, Lockheed Martin, NASA, the U.S. Army and a broad base of SMBs.</w:t>
      </w:r>
    </w:p>
    <w:p>
      <w:pPr>
        <w:pStyle w:val="Normal"/>
      </w:pPr>
      <w:r>
        <w:t xml:space="preserve">Standard Bots operates a vertically integrated model, designing actuators and assembling most products in-house, with plans to domestically manufacture nearly all components by 2027 to bolster U.S. manufacturing capabilities. Beard has become an advocate for industrial efficiency, briefing policymakers on the value of tech-enabled productivity.</w:t>
      </w:r>
    </w:p>
    <w:p>
      <w:pPr>
        <w:pStyle w:val="Normal"/>
      </w:pPr>
      <w:r>
        <w:t xml:space="preserve">The $200 million round will fund expansion of the Glen Cove facility to 70,000 square feet and support a target of capturing 10% of new U.S. industrial robot deployments this year, even as the company faces competition from established domestic suppliers and a rapid pace of robot installations in China.</w:t>
      </w:r>
    </w:p>
    <w:p>
      <w:pPr>
        <w:pStyle w:val="Normal"/>
      </w:pPr>
      <w:r>
        <w:t xml:space="preserve">++++++++++++++++++++++++++++++++++++++++++++++++++++++++++++++++++++++++++++++++++++</w:t>
      </w:r>
    </w:p>
    <w:p>
      <w:pPr>
        <w:pStyle w:val="Normal"/>
      </w:pPr>
      <w:r>
        <w:t xml:space="preserve">+ ANDREESSEN HOROWITZ [3 News That Matters]</w:t>
      </w:r>
    </w:p>
    <w:p>
      <w:pPr>
        <w:pStyle w:val="Normal"/>
      </w:pPr>
      <w:r>
        <w:t xml:space="preserve">+ ANDREESSEN HOROWITZ CRYPTO ARM LEADS $100 MILLION INVESTMENT IN DIGITAL ASSET'S CANTON</w:t>
      </w:r>
    </w:p>
    <w:p>
      <w:pPr>
        <w:pStyle w:val="Normal"/>
      </w:pPr>
      <w:r>
        <w:t xml:space="preserve">On Jun. 21, a16z Crypto announced a $100 million investment in Digital Asset, the San Francisco based company behind the Canton blockchain, highlighting privacy as a central driver of the deal.</w:t>
      </w:r>
    </w:p>
    <w:p>
      <w:pPr>
        <w:pStyle w:val="Normal"/>
      </w:pPr>
      <w:r>
        <w:t xml:space="preserve">The move reflects a broader pivot in blockchain investing, with privacy technology increasingly seen as essential for institutions that once preferred transparent ledgers. Regulators, asset managers, and retail users are seeking confidentiality to protect transactional data while still enabling trusted networks.</w:t>
      </w:r>
    </w:p>
    <w:p>
      <w:pPr>
        <w:pStyle w:val="Normal"/>
      </w:pPr>
      <w:r>
        <w:t xml:space="preserve">Market context frames the rationale: private privacy coins have drawn attention as demand grows. Monero recently surpassed 100% gains over the past year, while Zcash has posted substantial rallies at times, underscoring the appetite for privacy solutions.</w:t>
      </w:r>
    </w:p>
    <w:p>
      <w:pPr>
        <w:pStyle w:val="Normal"/>
      </w:pPr>
      <w:r>
        <w:t xml:space="preserve">Canton’s CC token has benefited from this trend, with a market capitalization exceeding $6.3 billion, ranking around the 15th largest crypto by CoinMarketCap. CC trades near $0.16, with a circulating supply of about 38.8 billion and no fixed maximum supply.</w:t>
      </w:r>
    </w:p>
    <w:p>
      <w:pPr>
        <w:pStyle w:val="Normal"/>
      </w:pPr>
      <w:r>
        <w:t xml:space="preserve">Ali Yahya, a16z Crypto general partner, stated in a blog post that "privacy will be the most important moat in crypto this year," underscoring the firm’s view that confidential transactions will drive broader adoption. The investment places a16z Crypto at the vanguard of a privacy focused shift in digital finance.</w:t>
      </w:r>
    </w:p>
    <w:p>
      <w:pPr>
        <w:pStyle w:val="Normal"/>
      </w:pPr>
      <w:r>
        <w:t xml:space="preserve">Taken together, the Canton investment signals a growing industry consensus that privacy is not a niche feature but a foundational requirement for future growth and institutional participation.</w:t>
      </w:r>
    </w:p>
    <w:p>
      <w:pPr>
        <w:pStyle w:val="Normal"/>
      </w:pPr>
      <w:r>
        <w:t xml:space="preserve">+ CONVEY LANDS $38M SERIES A TO SCALE NON-CODING AI WORKFORCE FOR ENTERPRISES</w:t>
      </w:r>
    </w:p>
    <w:p>
      <w:pPr>
        <w:pStyle w:val="Normal"/>
      </w:pPr>
      <w:r>
        <w:t xml:space="preserve">SAN FRANCISCO--Convey, the enterprise AI platform that enables non-technical operators to build and manage digital teammates that execute business operations autonomously, today announced $38 million in Series A funding led by Andreessen Horowitz (a16z) with continued participation from Khosla Ventures and Pear VC. A16z partner Joe Schmidt will join Convey's board. This announcement comes on 19th June 2026.</w:t>
      </w:r>
    </w:p>
    <w:p>
      <w:pPr>
        <w:pStyle w:val="Normal"/>
      </w:pPr>
      <w:r>
        <w:t xml:space="preserve">The funding highlights rising demand for Convey's platform, which has logged over one million hours of automated work completed for NBCUniversal, Samsara, TelevisaUnivision, Unity, Faire, and ChargePoint.</w:t>
      </w:r>
    </w:p>
    <w:p>
      <w:pPr>
        <w:pStyle w:val="Normal"/>
      </w:pPr>
      <w:r>
        <w:t xml:space="preserve">The capital will support expansion into enterprise markets and product development as the global AI spend is projected to reach $2.5 trillion in 2026.</w:t>
      </w:r>
    </w:p>
    <w:p>
      <w:pPr>
        <w:pStyle w:val="Normal"/>
      </w:pPr>
      <w:r>
        <w:t xml:space="preserve">Convey's core proposition is the ability for teams to onboard and manage their own AI workforce without coding, enabling digital teammates to learn tasks, gather context, and take ownership of responsibilities previously managed manually.</w:t>
      </w:r>
    </w:p>
    <w:p>
      <w:pPr>
        <w:pStyle w:val="Normal"/>
      </w:pPr>
      <w:r>
        <w:t xml:space="preserve">Operators can deploy the teammates to automate tasks such as processing invoices, managing campaign reporting, and ingesting advertising assets at scale, freeing up time for strategic work.</w:t>
      </w:r>
    </w:p>
    <w:p>
      <w:pPr>
        <w:pStyle w:val="Normal"/>
      </w:pPr>
      <w:r>
        <w:t xml:space="preserve">Convey emphasizes governance and security through partnerships with IT departments and critical systems, seeking to deliver measurable returns from the outset and to help enterprises transition to AI native operations.</w:t>
      </w:r>
    </w:p>
    <w:p>
      <w:pPr>
        <w:pStyle w:val="Normal"/>
      </w:pPr>
      <w:r>
        <w:t xml:space="preserve">+ ANDREESSEN HOROWITZ BETS $25M ON STITCH TO DRIVE REGIONAL FINTECH EXPANSION</w:t>
      </w:r>
    </w:p>
    <w:p>
      <w:pPr>
        <w:pStyle w:val="Normal"/>
      </w:pPr>
      <w:r>
        <w:t xml:space="preserve">Stitch, a Saudi financial services startup, has raised a $25 million funding round from Andreessen Horowitz, announced on 17th June 2026. The investment underscores growing investor interest in Middle East fintech platforms and supports Stitch's expansion ambitions.</w:t>
      </w:r>
    </w:p>
    <w:p>
      <w:pPr>
        <w:pStyle w:val="Normal"/>
      </w:pPr>
      <w:r>
        <w:t xml:space="preserve">"It is a significant investment, and it is a big deal for us, and there’s no shying away from that. It does represent tremendous validation for us, and our business model. It’s not just a Stitch story, it’s a regional one," said Mohamed Oueida, Founder and CEO of Stitch. The funds will be used to accelerate growth across the Gulf Cooperation Council, Egypt, and Southeast Asia, including recent launches in the Philippines.</w:t>
      </w:r>
    </w:p>
    <w:p>
      <w:pPr>
        <w:pStyle w:val="Normal"/>
      </w:pPr>
      <w:r>
        <w:t xml:space="preserve">Oueida described the banking technology landscape as dominated by legacy systems and fragmentation that suppress returns on technology spend. "Capital isn’t the problem here; most financial institutions are huge spenders on technology. However, the ROI they are getting from these investments are not where they should be," he said.</w:t>
      </w:r>
    </w:p>
    <w:p>
      <w:pPr>
        <w:pStyle w:val="Normal"/>
      </w:pPr>
      <w:r>
        <w:t xml:space="preserve">Stitch pitches a unified platform to streamline operations and reduce fragmentation. "Today, building software is as easy as making food. We believe that you can build a unified platform on a single operating system, rather than having 1,000 systems running," he added, arguing that AI gains hinge on removing fragmentation.</w:t>
      </w:r>
    </w:p>
    <w:p>
      <w:pPr>
        <w:pStyle w:val="Normal"/>
      </w:pPr>
      <w:r>
        <w:t xml:space="preserve">LuLu Exchange in the UAE has been cited as a partner that helped propel product launches and open doors to new markets, including the Philippines. "After the successful launch of the multiple currency cards, they came back to us and said they needed to think about their next evolution," Oueida noted.</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BUSINESS REPORTS &amp; FORECASTS (90%);  INFORMATION TECHNOLOGY INDUSTRY (90%);  INNOVATION (90%);  FINANCIAL MARKET UPDATES (90%);  FINANCING ROUNDS (89%);  VENTURE CAPITAL (89%);  WRITERS (88%);  BUSINESS NEWS (78%);  FINANCIAL TECHNOLOGY (78%);  COMPANY ACTIVITIES &amp; MANAGEMENT (78%);  ARTIFICIAL INTELLIGENCE (74%);  CYBERSECURITY (74%);  NEGATIVE TECHNOLOGY NEWS (73%);  ONLINE SECURITY &amp; PRIVACY (73%);  CYBERCRIME (73%);  COMPUTER SOFTWARE (64%);  MOBILE MEDIA (63%); HOLDING COMPANIES (90%); TECHNOLOGY (93%); BUSINESS REPORTS &amp; FORECASTS (90%); INNOVATION (90%); FINANCING ROUNDS (89%); FINANCIAL MARKET UPDATES (90%); NEGATIVE TECHNOLOGY NEWS (72%); COMPANY ACTIVITIES &amp; MANAGEMENT (78%); VENTURE CAPITAL (89%); WRITERS (89%); CYBERCRIME (69%); ARTIFICIAL INTELLIGENCE (74%); BUSINESS NEWS (78%); FINANCIAL TECHNOLOGY (77%); ENTREPRENEURSHIP (90%)</w:t>
      </w:r>
    </w:p>
    <w:p>
      <w:pPr>
        <w:pStyle w:val="Normal"/>
      </w:pPr>
      <w:r>
        <w:t xml:space="preserve">Company:  ACCENTURE PLC (58%); WndrCo</w:t>
      </w:r>
    </w:p>
    <w:p>
      <w:pPr>
        <w:pStyle w:val="Normal"/>
      </w:pPr>
      <w:r>
        <w:t xml:space="preserve">Ticker: ACN (NYSE) (58%); WNDRCO</w:t>
      </w:r>
    </w:p>
    <w:p>
      <w:pPr>
        <w:pStyle w:val="Normal"/>
      </w:pPr>
      <w:r>
        <w:t xml:space="preserve">Industry: NAICS541611 ADMINISTRATIVE MANAGEMENT &amp; GENERAL MANAGEMENT CONSULTING SERVICES (58%); SIC8742 MANAGEMENT CONSULTING SERVICES (58%); MOBILE MEDIA (63%); ONLINE SECURITY &amp; PRIVACY (54%); COMPUTER SOFTWARE (64%); FINANCIAL MARKET UPDATES (90%); VENTURE CAPITAL (89%); CYBERSECURITY (75%); WRITERS (89%); CYBERCRIME (69%); ARTIFICIAL INTELLIGENCE (74%); FINANCIAL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MIDDLE EAST (79%); MIDDLE EAST (79%); United States; United States</w:t>
      </w:r>
    </w:p>
    <w:p>
      <w:pPr>
        <w:pStyle w:val="Normal"/>
      </w:pPr>
      <w:r>
        <w:t xml:space="preserve">Load-Date: June 23,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2026-10-22T20:15:13Z</dcterms:modified>
  <cp:category/>
</cp:coreProperties>
</file>