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7, 2026 Tuesday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2244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IDILIO SECURES $5.5M SEED BACKING FROM WNDRCO TO ACCELERATE LATIN AMERICAN MICRODRAMA</w:t>
      </w:r>
    </w:p>
    <w:p>
      <w:pPr>
        <w:pStyle w:val="Normal"/>
      </w:pPr>
      <w:r>
        <w:t xml:space="preserve">WndrCo led a $5.5 million seed round for Idilio, a Latin American microdrama platform, with the announcement coming on 4th June 2026. The investment underscores WndrCo's ongoing interest in tech driven entertainment ventures that blend storytelling with scalable software. </w:t>
      </w:r>
    </w:p>
    <w:p>
      <w:pPr>
        <w:pStyle w:val="Normal"/>
      </w:pPr>
      <w:r>
        <w:t xml:space="preserve">Idilio was co-founded by Gabriela Tafur and Esteban Ramirez and is positioned at the intersection of traditional telenovelas and vertical video formats, powered by an AI engine designed to reduce production costs and timelines. </w:t>
      </w:r>
    </w:p>
    <w:p>
      <w:pPr>
        <w:pStyle w:val="Normal"/>
      </w:pPr>
      <w:r>
        <w:t xml:space="preserve">Since its launch five months ago, the platform has achieved 1.5 million downloads in 93 countries and streamed 40 million episodes. Users are reportedly watching about 50 minutes of Idilio content per day, a level of engagement that stands out in the mobile video space. </w:t>
      </w:r>
    </w:p>
    <w:p>
      <w:pPr>
        <w:pStyle w:val="Normal"/>
      </w:pPr>
      <w:r>
        <w:t xml:space="preserve">Idilio Creators will enable creators to monetize directly on the platform, with 100% of profits going to the creators. The program aims to nurture a Latin American content community that can compete with global players by delivering localized stories. </w:t>
      </w:r>
    </w:p>
    <w:p>
      <w:pPr>
        <w:pStyle w:val="Normal"/>
      </w:pPr>
      <w:r>
        <w:t xml:space="preserve">In addition to WndrCo, the round drew participation from investors such as a16z Speedrun, Goodwater Capital, Precursor Ventures, and fintech executive David Velez, alongside other backers. The backing positions Idilio to scale its AI driven production model across the region.</w:t>
      </w:r>
    </w:p>
    <w:p>
      <w:pPr>
        <w:pStyle w:val="Normal"/>
      </w:pPr>
      <w:r>
        <w:t xml:space="preserve">+   ACCENTURE VENTURES LEADS $110M INVESTMENT IN NETOMI TO ADVANCE ENTERPRISE AGENTIC CX</w:t>
      </w:r>
    </w:p>
    <w:p>
      <w:pPr>
        <w:pStyle w:val="Normal"/>
      </w:pPr>
      <w:r>
        <w:t xml:space="preserve">San Francisco-based Netomi today announced a $110 million funding round led by Accenture Ventures, with additional investments from Adobe Ventures, WndrCo, SLW, NAVER Ventures, Metis Strategy and Fin Capital. The round, disclosed on 6th May 2026, solidifies Netomi’s position as a leading enterprise-grade agentic CX platform with a focus on reliability in mission-critical environments.\n\nThe funding will be used to scale the deployment of AI across digital experiences in multiple industries. Notable clients such as Delta Air Lines, United Airlines, MetLife and Paramount are already using Netomi for chat, email and voice, including its integration within the United Airlines mobile app.\n\nBeyond funding, Accenture has formed a global alliance with Netomi to develop a playbook for enterprise agentic CX deployment, helping Accenture’s clients adopt Netomi’s technology with greater empathy, consistency and intelligence. As Ndidi Oteh, CEO of Accenture Song, notes, \"Netomi's platform strengthens the connection between people and the brands they trust.\"\n\nOpenAI’s case study cited by Netomi highlights its flawless track record deploying agentic systems at scale without failures or regulatory breaches, underscoring its reliability. The investment reflects a wider industry trend toward reliable, production-grade AI in customer experience, aimed at reducing operational complexity and delivering seamless, outcome-driven interactions.\n\nWith a robust client roster and strategic partnerships, Netomi is positioned to redefine enterprise customer engagement in the coming years.</w:t>
      </w:r>
    </w:p>
    <w:p>
      <w:pPr>
        <w:pStyle w:val="Normal"/>
      </w:pPr>
      <w:r>
        <w:t xml:space="preserve">++++++++++++++++++++++++++++++++++++++++++++++++++++++++++++++++++++++++++++++++++++</w:t>
      </w:r>
    </w:p>
    <w:p>
      <w:pPr>
        <w:pStyle w:val="Normal"/>
      </w:pPr>
      <w:r>
        <w:t xml:space="preserve">+   GENERAL CATALYST [3 News That Matters]</w:t>
      </w:r>
    </w:p>
    <w:p>
      <w:pPr>
        <w:pStyle w:val="Normal"/>
      </w:pPr>
      <w:r>
        <w:t xml:space="preserve">+   JANUS HENDERSON GOES PRIVATE WITH NEW INVESTOR ALLIANCE, LED BY CEO DIBADJ</w:t>
      </w:r>
    </w:p>
    <w:p>
      <w:pPr>
        <w:pStyle w:val="Normal"/>
      </w:pPr>
      <w:r>
        <w:t xml:space="preserve">Janus Henderson Group Ltd. has concluded its take-private transaction with a consortium including Trian Fund Management, General Catalyst Group Management, and the Qatar Investment Authority. The deal, finalized on the 30th of June, 2026, sees the company’s public shares converted into cash at $52.00 per share and the shares delisted from the New York Stock Exchange.</w:t>
      </w:r>
    </w:p>
    <w:p>
      <w:pPr>
        <w:pStyle w:val="Normal"/>
      </w:pPr>
      <w:r>
        <w:t xml:space="preserve">The privatization is designed to sharpen the firm’s focus on the client experience through long-term investments in investment solutions, technology, and talent development. Ali Dibadj will continue as chief executive, and the business will operate from its London and Denver bases as it enters a private phase.</w:t>
      </w:r>
    </w:p>
    <w:p>
      <w:pPr>
        <w:pStyle w:val="Normal"/>
      </w:pPr>
      <w:r>
        <w:t xml:space="preserve">The arrangement brings together activist investor Trian, General Catalyst, and state-backed partners, aiming to bolster the firm’s asset-management capabilities and growth trajectory. The leadership expects to leverage the combined expertise to accelerate technology adoption and enhance product offerings for clients.</w:t>
      </w:r>
    </w:p>
    <w:p>
      <w:pPr>
        <w:pStyle w:val="Normal"/>
      </w:pPr>
      <w:r>
        <w:t xml:space="preserve">The transaction was supported by a broad investor group that includes MassMutual and Sun Hung Kai &amp; Co., with law firms and financial advisers guiding the privatization. The move positions Janus Henderson to compete more effectively in the evolving asset-management landscape.</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w:t>
      </w:r>
    </w:p>
    <w:p>
      <w:pPr>
        <w:pStyle w:val="Normal"/>
      </w:pPr>
      <w:r>
        <w:t xml:space="preserve">+   ANDREESSEN HOROWITZ [3 News That Matters]</w:t>
      </w:r>
    </w:p>
    <w:p>
      <w:pPr>
        <w:pStyle w:val="Normal"/>
      </w:pPr>
      <w:r>
        <w:t xml:space="preserve">+   ANDREESSEN HOROWITZ TAKES LEAD IN SWITCH'S $2 BILLION PRIVATE FINANCING</w:t>
      </w:r>
    </w:p>
    <w:p>
      <w:pPr>
        <w:pStyle w:val="Normal"/>
      </w:pPr>
      <w:r>
        <w:t xml:space="preserve">Switch is pursuing a private financing round targeting roughly $2 billion, with Andreessen Horowitz (A16Z) leading the effort. The plan, announced on 3 July 2026, seeks to propel Switch into an elite club of startups that have completed ten-figure rounds in a single raise. </w:t>
      </w:r>
    </w:p>
    <w:p>
      <w:pPr>
        <w:pStyle w:val="Normal"/>
      </w:pPr>
      <w:r>
        <w:t xml:space="preserve">Specific valuation and product scope remain undisclosed as talks progress. The high-profile backer signals investor confidence in Switch's strategic vision and aligns with A16Z's tendency to back companies pursuing major advances in artificial intelligence and related platforms. </w:t>
      </w:r>
    </w:p>
    <w:p>
      <w:pPr>
        <w:pStyle w:val="Normal"/>
      </w:pPr>
      <w:r>
        <w:t xml:space="preserve">A16Z's recent activity provides a window into potential dynamics for Switch. The firm co-led a $2B round for Cursor, an AI coding startup built by Anysphere, with Nvidia and Thrive Capital; Cursor's valuation has surpassed $50B. The same firm also backed the record-setting $2B seed for Thinking Machines Lab. </w:t>
      </w:r>
    </w:p>
    <w:p>
      <w:pPr>
        <w:pStyle w:val="Normal"/>
      </w:pPr>
      <w:r>
        <w:t xml:space="preserve">The outcome could shape the tech landscape, depending on how Switch deploys the capital to speed product development, hiring, and partnerships.</w:t>
      </w:r>
    </w:p>
    <w:p>
      <w:pPr>
        <w:pStyle w:val="Normal"/>
      </w:pPr>
      <w:r>
        <w:t xml:space="preserve">+   ANDREESSEN HOROWITZ LEADS PILLAR SEED FINANCING OF $20 MILLION, BACKING FINANCIAL RISK PLATFORM</w:t>
      </w:r>
    </w:p>
    <w:p>
      <w:pPr>
        <w:pStyle w:val="Normal"/>
      </w:pPr>
      <w:r>
        <w:t xml:space="preserve">Pillar, a financial risk management platform founded by Harsha Ramesh and Chinmay Deshpande, raised $20 million in a seed round led by Andreessen Horowitz, with participation from Dara Khosrowshahi, Crucible Capital, and Gallery Ventures.</w:t>
      </w:r>
    </w:p>
    <w:p>
      <w:pPr>
        <w:pStyle w:val="Normal"/>
      </w:pPr>
      <w:r>
        <w:t xml:space="preserve">The deal signals strong appetite for enterprise-grade risk tools as firms operate across currencies and tightening regulatory regimes.</w:t>
      </w:r>
    </w:p>
    <w:p>
      <w:pPr>
        <w:pStyle w:val="Normal"/>
      </w:pPr>
      <w:r>
        <w:t xml:space="preserve">Pillar’s approach addresses the long-standing pain points of risk management, replacing spreadsheets, legacy systems, and ad hoc tooling with an integrated platform that supports treasury operations including exposure hedging and regulatory compliance.</w:t>
      </w:r>
    </w:p>
    <w:p>
      <w:pPr>
        <w:pStyle w:val="Normal"/>
      </w:pPr>
      <w:r>
        <w:t xml:space="preserve">The round aligns with Andreessen Horowitz’s strategy of backing foundational software that underpins modern business infrastructure, and the involvement of Khosrowshahi lends credibility given his global financial operations experience.</w:t>
      </w:r>
    </w:p>
    <w:p>
      <w:pPr>
        <w:pStyle w:val="Normal"/>
      </w:pPr>
      <w:r>
        <w:t xml:space="preserve">With the fresh capital, Pillar plans to accelerate product development and drum up early customer adoption, aiming to differentiate from high-cost enterprise solutions while offering API-driven options for mid-market companies.</w:t>
      </w:r>
    </w:p>
    <w:p>
      <w:pPr>
        <w:pStyle w:val="Normal"/>
      </w:pPr>
      <w:r>
        <w:t xml:space="preserve">+   PROSPER AI RAISES $30 MILLION TO AUTOMATE SCHEDULING, BILLING AND REIMBURSEMENTS IN HEALTHCARE</w:t>
      </w:r>
    </w:p>
    <w:p>
      <w:pPr>
        <w:pStyle w:val="Normal"/>
      </w:pPr>
      <w:r>
        <w:t xml:space="preserve">Prosper AI has closed a $30 million Series A led by Andreessen Horowitz, signaling strong investor confidence as the startup scales its platform for healthcare administration.</w:t>
      </w:r>
    </w:p>
    <w:p>
      <w:pPr>
        <w:pStyle w:val="Normal"/>
      </w:pPr>
      <w:r>
        <w:t xml:space="preserve">The company notes that revenue has expanded fivefold and the platform now handles more than $1.3 billion in patient care as of 30th June 2026.</w:t>
      </w:r>
    </w:p>
    <w:p>
      <w:pPr>
        <w:pStyle w:val="Normal"/>
      </w:pPr>
      <w:r>
        <w:t xml:space="preserve">Prosper AI provides a comprehensive suite that covers scheduling, insurance verification, patient billing and payer communications. By automating these steps, providers can reduce administrative costs by over 40%.</w:t>
      </w:r>
    </w:p>
    <w:p>
      <w:pPr>
        <w:pStyle w:val="Normal"/>
      </w:pPr>
      <w:r>
        <w:t xml:space="preserve">Its client roster includes Athenahealth and Jackson Memorial Hospital, illustrating demand across large health systems.</w:t>
      </w:r>
    </w:p>
    <w:p>
      <w:pPr>
        <w:pStyle w:val="Normal"/>
      </w:pPr>
      <w:r>
        <w:t xml:space="preserve">Co-Founder and Co-CEO Xavier de Gracia says the capital will support engineering growth, deeper customer engagement and broader integrations with leading Electronic Health Record systems, fueling faster market adoption across providers. Andreessen Horowitz Partner Jay Rughani emphasized the significance of removing administrative hurdles in healthcare and the growing demand for end-to-end automation.</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BUSINESS REPORTS &amp; FORECASTS (90%);  INFORMATION TECHNOLOGY INDUSTRY (90%);  INNOVATION (90%);  FINANCIAL MARKET UPDATES (90%);  FINANCING ROUNDS (89%);  VENTURE CAPITAL (89%);  WRITERS (88%);  BUSINESS NEWS (78%);  FINANCIAL TECHNOLOGY (78%);  COMPANY ACTIVITIES &amp; MANAGEMENT (78%);  ARTIFICIAL INTELLIGENCE (74%);  CYBERSECURITY (74%);  NEGATIVE TECHNOLOGY NEWS (73%);  ONLINE SECURITY &amp; PRIVACY (73%);  CYBERCRIME (73%);  COMPUTER SOFTWARE (64%);  MOBILE MEDIA (63%); HOLDING COMPANIES (90%); TECHNOLOGY (93%); BUSINESS REPORTS &amp; FORECASTS (90%); INNOVATION (90%); FINANCING ROUNDS (89%); FINANCIAL MARKET UPDATES (90%); NEGATIVE TECHNOLOGY NEWS (72%); COMPANY ACTIVITIES &amp; MANAGEMENT (78%); VENTURE CAPITAL (89%); WRITERS (89%); CYBERCRIME (69%); ARTIFICIAL INTELLIGENCE (74%); BUSINESS NEWS (78%); FINANCIAL TECHNOLOGY (77%); ENTREPRENEURSHIP (90%)</w:t>
      </w:r>
    </w:p>
    <w:p>
      <w:pPr>
        <w:pStyle w:val="Normal"/>
      </w:pPr>
      <w:r>
        <w:t xml:space="preserve">Company:  ACCENTURE PLC (58%); WndrCo</w:t>
      </w:r>
    </w:p>
    <w:p>
      <w:pPr>
        <w:pStyle w:val="Normal"/>
      </w:pPr>
      <w:r>
        <w:t xml:space="preserve">Ticker: ACN (NYSE) (58%); WNDRCO</w:t>
      </w:r>
    </w:p>
    <w:p>
      <w:pPr>
        <w:pStyle w:val="Normal"/>
      </w:pPr>
      <w:r>
        <w:t xml:space="preserve">Industry: NAICS541611 ADMINISTRATIVE MANAGEMENT &amp; GENERAL MANAGEMENT CONSULTING SERVICES (58%); SIC8742 MANAGEMENT CONSULTING SERVICES (58%); MOBILE MEDIA (63%); ONLINE SECURITY &amp; PRIVACY (54%); COMPUTER SOFTWARE (64%); FINANCIAL MARKET UPDATES (90%); VENTURE CAPITAL (89%); CYBERSECURITY (75%); WRITERS (89%); CYBERCRIME (69%); ARTIFICIAL INTELLIGENCE (74%); FINANCIAL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MIDDLE EAST (79%); MIDDLE EAST (79%); United States; United States</w:t>
      </w:r>
    </w:p>
    <w:p>
      <w:pPr>
        <w:pStyle w:val="Normal"/>
      </w:pPr>
      <w:r>
        <w:t xml:space="preserve">Load-Date: July 7,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2026-10-22T20:14:56Z</dcterms:modified>
  <cp:category/>
</cp:coreProperties>
</file>