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4, 2026 Saturday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3609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WNDRCO BACKS IDILIO'S INNOVATIVE MICRODRAMA PLATFORM WITH $5.5M SEED FUNDING</w:t>
      </w:r>
    </w:p>
    <w:p>
      <w:pPr>
        <w:pStyle w:val="Normal"/>
      </w:pPr>
      <w:r>
        <w:t xml:space="preserve">WndrCo, the investment firm led by Jeffrey Katzenberg, has made headlines by participating in a $5.5 million seed funding round for Idilio, a microdrama platform aimed at the Latin American market. This investment, which was announced on 4th June 2026, highlights WndrCo's continued interest in innovative content ventures that leverage technology to reshape entertainment experiences.</w:t>
      </w:r>
    </w:p>
    <w:p>
      <w:pPr>
        <w:pStyle w:val="Normal"/>
      </w:pPr>
      <w:r>
        <w:t xml:space="preserve">Idilio, co-founded by Latin American media personality Gabriela Tafur and Esteban Ram rez, is positioned at the cutting edge of the microdrama trend, combining elements of popular Latin American telenovelas with the fast-paced world of vertical video. With the help of an AI-powered engine, Idilio claims to produce short-form drama series at a fraction of the cost and time compared to traditional methods, making it a disruptive force in the industry.</w:t>
      </w:r>
    </w:p>
    <w:p>
      <w:pPr>
        <w:pStyle w:val="Normal"/>
      </w:pPr>
      <w:r>
        <w:t xml:space="preserve">Since its launch just five months ago, Idilio has already achieved significant traction, boasting 1.5 million downloads across 93 countries. The platform has streamed an impressive 40 million episodes, with users reportedly consuming an average of 50 minutes of content daily—substantially higher than Netflix's typical engagement metrics. Tafur emphasized that Idilio was created to cater specifically to Spanish and Portuguese-speaking audiences, providing content tailored to their cultural context rather than merely translating existing formats.</w:t>
      </w:r>
    </w:p>
    <w:p>
      <w:pPr>
        <w:pStyle w:val="Normal"/>
      </w:pPr>
      <w:r>
        <w:t xml:space="preserve">In addition to the funding, Idilio is set to introduce Idilio Creators, a program designed to empower microdrama makers by allowing them to monetize their content directly on the platform. Notably, 100% of the profits will be passed on to creators, reflecting Idilio's commitment to fostering a vibrant community of Latin American content producers. This initiative aims to tap into the growing demand for localized content while enabling creators to thrive in the competitive landscape of digital media.</w:t>
      </w:r>
    </w:p>
    <w:p>
      <w:pPr>
        <w:pStyle w:val="Normal"/>
      </w:pPr>
      <w:r>
        <w:t xml:space="preserve">Idilio's funding round included participation from other notable investors such as a16z Speedrun, Goodwater Capital, and Precursor Ventures, alongside prominent figures like David V lez from the fintech sector. With WndrCo's backing, Idilio is poised to make significant strides in transforming how microdrama is produced and consumed in Latin America, reinforcing the region's status as a hub for talent and innovation in the entertainment industry.</w:t>
      </w:r>
    </w:p>
    <w:p>
      <w:pPr>
        <w:pStyle w:val="Normal"/>
      </w:pPr>
      <w:r>
        <w:t xml:space="preserve">+ NETOMI SECURES $110M INVESTMENT LED BY ACCENTURE VENTURES TO ENHANCE CUSTOMER EXPERIENCE</w:t>
      </w:r>
    </w:p>
    <w:p>
      <w:pPr>
        <w:pStyle w:val="Normal"/>
      </w:pPr>
      <w:r>
        <w:t xml:space="preserve">SAN FRANCISCO--Netomi today announced a significant funding round of $110 million led by Accenture Ventures, with additional investments from Adobe Ventures, WndrCo, SLW, NAVER Ventures, Metis Strategy, and Fin Capital. This announcement was made on 6th May 2026, and it underscores Netomi's position as a leading enterprise-grade agentic customer experience (CX) platform, particularly in high-stakes environments where operational reliability is paramount.</w:t>
      </w:r>
    </w:p>
    <w:p>
      <w:pPr>
        <w:pStyle w:val="Normal"/>
      </w:pPr>
      <w:r>
        <w:t xml:space="preserve">The funding will enable Netomi to accelerate its mission of embedding artificial intelligence (AI) into digital experiences across various sectors. Notable clients such as Delta Air Lines, United Airlines, MetLife, and Paramount are already leveraging Netomi's platform to enhance customer interactions through chat, email, and voice. Furthermore, the platform's integration within the United Airlines mobile app exemplifies its capabilities in real-world applications.</w:t>
      </w:r>
    </w:p>
    <w:p>
      <w:pPr>
        <w:pStyle w:val="Normal"/>
      </w:pPr>
      <w:r>
        <w:t xml:space="preserve">As part of this funding round, Accenture has also formed a global alliance with Netomi aimed at developing a comprehensive playbook for enterprise agentic CX deployment. This collaboration is expected to empower Accenture's clients to leverage Netomi's technology effectively, enhancing customer service with greater empathy, consistency, and intelligence. Ndidi Oteh, CEO of Accenture Song, emphasized the potential of agentic AI to transform customer experiences, stating, 'Netomi's platform strengthens the connection between people and the brands they trust.'</w:t>
      </w:r>
    </w:p>
    <w:p>
      <w:pPr>
        <w:pStyle w:val="Normal"/>
      </w:pPr>
      <w:r>
        <w:t xml:space="preserve">Netomi's unique position is further validated by OpenAI's recent case study, which highlights its flawless track record in deploying agentic systems at scale without failures or regulatory breaches. This reliability positions Netomi as a frontrunner in the quest for AI-embedded solutions that dynamically adapt to customer journeys, enhancing overall satisfaction while minimizing friction. The platform aims to address the limitations of traditional customer experience technologies, which often require customers to navigate cumbersome interactions.</w:t>
      </w:r>
    </w:p>
    <w:p>
      <w:pPr>
        <w:pStyle w:val="Normal"/>
      </w:pPr>
      <w:r>
        <w:t xml:space="preserve">As the demand for reliable, production-grade agentic AI continues to grow among enterprises, Netomi's funding round reflects a broader trend in the industry. The integration of AI within customer experience not only promises to reduce operational complexities but also enhances the ability of brands to deliver seamless, outcome-driven interactions. With a robust portfolio of clients and strategic partnerships, Netomi is poised to redefine the landscape of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ANDREESSEN HOROWITZ [3 News That Matters]</w:t>
      </w:r>
    </w:p>
    <w:p>
      <w:pPr>
        <w:pStyle w:val="Normal"/>
      </w:pPr>
      <w:r>
        <w:t xml:space="preserve">+ PROSPER AI ATTRACTS $30M INVESTMENT FROM ANDREESSEN HOROWITZ TO TRANSFORM PATIENT MANAGEMENT</w:t>
      </w:r>
    </w:p>
    <w:p>
      <w:pPr>
        <w:pStyle w:val="Normal"/>
      </w:pPr>
      <w:r>
        <w:t xml:space="preserve">Prosper AI has successfully raised $30 million in a Series A financing round led by Andreessen Horowitz, a prominent venture capital firm. This funding comes on the heels of significant growth for Prosper AI, with revenue increasing fivefold and the platform now managing over $1.3 billion in patient care as of 30th June 2026.</w:t>
      </w:r>
    </w:p>
    <w:p>
      <w:pPr>
        <w:pStyle w:val="Normal"/>
      </w:pPr>
      <w:r>
        <w:t xml:space="preserve">The innovative platform developed by Prosper AI not only handles scheduling but extends to insurance verification, patient billing, and payer communications. By automating these processes, the company reports that healthcare providers can reduce administrative costs by more than 40%. The roster of clients utilizing Prosper AI's services includes major organizations such as Athenahealth and Jackson Memorial Hospital.</w:t>
      </w:r>
    </w:p>
    <w:p>
      <w:pPr>
        <w:pStyle w:val="Normal"/>
      </w:pPr>
      <w:r>
        <w:t xml:space="preserve">Xavier de Gracia, Co-Founder and Co-CEO of Prosper AI, emphasized that the new capital will be directed towards expanding the engineering team and enhancing customer engagement. Moreover, Prosper AI aims to deepen its integrations with key Electronic Health Record (EHR) systems while accelerating its market adoption across various healthcare providers.</w:t>
      </w:r>
    </w:p>
    <w:p>
      <w:pPr>
        <w:pStyle w:val="Normal"/>
      </w:pPr>
      <w:r>
        <w:t xml:space="preserve">Unlike earlier healthcare AI solutions that primarily focused on appointment scheduling, Prosper AI is designed to streamline the entire patient journey. This comprehensive approach addresses the fragmented nature of healthcare processes, which historically led to excessive administrative inefficiencies. The platform facilitates a seamless workflow from appointment requests to reimbursement, thereby enhancing both patient experience and operational efficacy.</w:t>
      </w:r>
    </w:p>
    <w:p>
      <w:pPr>
        <w:pStyle w:val="Normal"/>
      </w:pPr>
      <w:r>
        <w:t xml:space="preserve">The backing from Andreessen Horowitz signifies a strong endorsement of Prosper AI's innovative approach. Jay Rughani, Partner at Andreessen Horowitz, noted that the firm was particularly impressed by Prosper AI's ambition to eliminate administrative hurdles in healthcare. The demand for such comprehensive solutions in the medical field is growing, positioning Prosper AI as a critical player in the ongoing evolution of healthcare administration.</w:t>
      </w:r>
    </w:p>
    <w:p>
      <w:pPr>
        <w:pStyle w:val="Normal"/>
      </w:pPr>
      <w:r>
        <w:t xml:space="preserve">+ A16Z CRYPTO BETS BIG ON CANTON WITH $100 MILLION INVESTMENT</w:t>
      </w:r>
    </w:p>
    <w:p>
      <w:pPr>
        <w:pStyle w:val="Normal"/>
      </w:pPr>
      <w:r>
        <w:t xml:space="preserve">Andreessen Horowitz’s crypto arm, a16z Crypto, has announced a substantial investment of $100 million in Digital Asset, the company behind the Canton blockchain. This move comes amidst a growing recognition of the need for privacy in cryptocurrency transactions, with a16z Crypto emphasizing that this investment reflects the shifting dynamics in blockchain investment strategies. The announcement was made on 21st June 2026, highlighting the venture capital firm's strong belief in the future of privacy technology within the crypto landscape.</w:t>
      </w:r>
    </w:p>
    <w:p>
      <w:pPr>
        <w:pStyle w:val="Normal"/>
      </w:pPr>
      <w:r>
        <w:t xml:space="preserve">The rationale behind a16z Crypto's investment is rooted in the belief that privacy technology will serve as a crucial enabler for institutional adoption of blockchain. Historically, transparent ledgers have been touted as a significant advantage of public blockchains; however, this transparency is increasingly viewed as a liability by financial institutions, asset managers, and retail users who prefer their transactions to remain confidential. As a result, privacy-centric solutions like Canton are gaining traction, positioning themselves as viable alternatives for those wary of exposing their financial activities.</w:t>
      </w:r>
    </w:p>
    <w:p>
      <w:pPr>
        <w:pStyle w:val="Normal"/>
      </w:pPr>
      <w:r>
        <w:t xml:space="preserve">The demand for privacy-focused cryptocurrencies has seen a notable uptick, with tokens such as Monero and Zcash experiencing substantial price increases over the past year. Monero has surged over 100%, while Zcash has seen remarkable gains of over 700% at its peak. Canton’s own token, CC, has also benefited from this trend, boasting a market capitalization exceeding $6.3 billion, making it the 15th largest cryptocurrency according to CoinMarketCap. Currently, CC trades at around $0.16, with a circulating supply of 38.8 billion tokens and no maximum supply cap.</w:t>
      </w:r>
    </w:p>
    <w:p>
      <w:pPr>
        <w:pStyle w:val="Normal"/>
      </w:pPr>
      <w:r>
        <w:t xml:space="preserve">Ali Yahya, a general partner at a16z Crypto, articulated the firm’s perspective on privacy in a recent blog post. In a discussion of privacy trends for 2026, Yahya stated that 'privacy will be the most important moat in crypto this year.' This insight underscores the growing consensus among investors and industry leaders that protecting transaction details will be paramount for fostering trust and encouraging broader participation in the blockchain ecosystem.</w:t>
      </w:r>
    </w:p>
    <w:p>
      <w:pPr>
        <w:pStyle w:val="Normal"/>
      </w:pPr>
      <w:r>
        <w:t xml:space="preserve">As the blockchain landscape evolves, a16z Crypto's investment in Canton signals a pivotal shift towards prioritizing privacy in digital finance. This strategic move not only positions a16z Crypto at the forefront of this emerging trend but also reflects a broader industry recognition that privacy is no longer a luxury but a necessity for future growth and adoption of blockchain technologies.</w:t>
      </w:r>
    </w:p>
    <w:p>
      <w:pPr>
        <w:pStyle w:val="Normal"/>
      </w:pPr>
      <w:r>
        <w:t xml:space="preserve">+ STITCH SECURES $25M FROM ANDREESSEN HOROWITZ, SIGNALING GROWTH FOR THE REGION</w:t>
      </w:r>
    </w:p>
    <w:p>
      <w:pPr>
        <w:pStyle w:val="Normal"/>
      </w:pPr>
      <w:r>
        <w:t xml:space="preserve">Stitch, a Saudi financial services startup, has secured a $25 million investment from Silicon Valley venture capital firm Andreessen Horowitz. Mohamed Oueida, the Founder and CEO of Stitch, emphasized that this investment is not only significant for their company but for the entire Middle East region. The investment was announced on 17th June 2026, marking a pivotal moment for the startup, as it represents a validation of their business model and ambitions.</w:t>
      </w:r>
    </w:p>
    <w:p>
      <w:pPr>
        <w:pStyle w:val="Normal"/>
      </w:pPr>
      <w:r>
        <w:t xml:space="preserve">Oueida expressed his enthusiasm about the partnership, stating, "It is a significant investment, and it is a big deal for us, and there’s no shying away from that. It does represent tremendous validation for us, and our business model. It’s not just a Stitch story, it’s a regional one." The CEO highlighted that the funds will primarily be used to accelerate Stitch's growth, allowing the company to expand its operations across the Gulf Cooperation Council (GCC), Egypt, and Southeast Asia, including recent launches in the Philippines.</w:t>
      </w:r>
    </w:p>
    <w:p>
      <w:pPr>
        <w:pStyle w:val="Normal"/>
      </w:pPr>
      <w:r>
        <w:t xml:space="preserve">The CEO articulated that many financial institutions today are burdened by outdated infrastructure, suggesting that a combination of legacy systems and fragmentation has created inefficiencies. Oueida noted, "Capital isn’t the problem here; most financial institutions are huge spenders on technology. However, the ROI they are getting from these investments are not where they should be." He elaborated that many banks are still reliant on legacy systems that hinder their ability to adapt to modern technological advancements, including cloud solutions and artificial intelligence.</w:t>
      </w:r>
    </w:p>
    <w:p>
      <w:pPr>
        <w:pStyle w:val="Normal"/>
      </w:pPr>
      <w:r>
        <w:t xml:space="preserve">Stitch aims to address these challenges by offering a unified platform to streamline operations and reduce fragmentation. Oueida remarked, "Today, building software is as easy as making food. We believe that you can build a unified platform on a single operating system, rather than having 1,000 systems running, which inevitably leads to high-levels of fragmentation." He also emphasized that AI's true potential cannot be unlocked without addressing the existing fragmentation within financial institutions.</w:t>
      </w:r>
    </w:p>
    <w:p>
      <w:pPr>
        <w:pStyle w:val="Normal"/>
      </w:pPr>
      <w:r>
        <w:t xml:space="preserve">As Stitch continues to grow and innovate, Oueida shared insights into their partnerships, particularly with LuLu Exchange in the UAE. He explained how this collaboration has facilitated successful product launches and further expansion into new markets, such as the Philippines. "After the successful launch of the multiple currency cards, they came back to us and said they needed to think about their next evolution," Oueida noted. The partnership exemplifies Stitch's commitment to delivering value and driving transformation within the financial services sector.</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FINANCING ROUNDS (90%);  BUSINESS REPORTS &amp; FORECASTS (90%);  INFORMATION TECHNOLOGY INDUSTRY (90%);  INNOVATION (90%);  FINANCIAL MARKET UPDATES (90%);  BUSINESS NEWS (78%);  STREAMING MEDIA (78%);  COMPANY ACTIVITIES &amp; MANAGEMENT (78%);  TRENDS (76%);  ARTIFICIAL INTELLIGENCE (74%);  WRITERS (74%);  CYBERSECURITY (74%);  NEGATIVE TECHNOLOGY NEWS (73%);  ONLINE SECURITY &amp; PRIVACY (73%);  CYBERCRIME (73%); HOLDING COMPANIES (90%); TECHNOLOGY (93%); BUSINESS REPORTS &amp; FORECASTS (90%); INNOVATION (90%); FINANCING ROUNDS (91%); FINANCIAL MARKET UPDATES (90%); NEGATIVE TECHNOLOGY NEWS (72%); COMPANY ACTIVITIES &amp; MANAGEMENT (78%); WRITERS (75%); CYBERCRIME (69%); ARTIFICIAL INTELLIGENCE (74%); BUSINESS NEWS (78%); TRENDS (77%); ENTREPRENEURSHIP (90%)</w:t>
      </w:r>
    </w:p>
    <w:p>
      <w:pPr>
        <w:pStyle w:val="Normal"/>
      </w:pPr>
      <w:r>
        <w:t xml:space="preserve">Company:  NETFLIX INC (62%); WndrCo</w:t>
      </w:r>
    </w:p>
    <w:p>
      <w:pPr>
        <w:pStyle w:val="Normal"/>
      </w:pPr>
      <w:r>
        <w:t xml:space="preserve">Ticker: NFLX (NASDAQ) (62%); WNDRCO</w:t>
      </w:r>
    </w:p>
    <w:p>
      <w:pPr>
        <w:pStyle w:val="Normal"/>
      </w:pPr>
      <w:r>
        <w:t xml:space="preserve">Industry: NAICS532282 VIDEO TAPE &amp; DISC RENTAL (62%); SIC7841 VIDEO TAPE RENTAL (62%); STREAMING MEDIA (74%); ONLINE SECURITY &amp; PRIVACY (54%); FINANCIAL MARKET UPDATES (90%); CYBERSECURITY (75%); WRITERS (75%); CYBERCRIME (69%); ARTIFICIAL INTELLIGENCE (74%); INFORMATION TECHNOLOGY INDUSTRY (90%); 523910 (%)</w:t>
      </w:r>
    </w:p>
    <w:p>
      <w:pPr>
        <w:pStyle w:val="Normal"/>
      </w:pPr>
      <w:r>
        <w:t xml:space="preserve">Person:  JEFFREY KATZENBERG (78%); JEFFREY KATZENBERG (78%)</w:t>
      </w:r>
    </w:p>
    <w:p>
      <w:pPr>
        <w:pStyle w:val="Normal"/>
      </w:pPr>
      <w:r>
        <w:t xml:space="preserve">Geographic:  LOS ANGELES, CA, USA (92%); LOS ANGELES, CA, USA (92%);  CALIFORNIA, USA (92%); CALIFORNIA, USA (92%);  UNITED STATES (92%);  MIDDLE EAST (79%); MIDDLE EAST (79%); United States; United States</w:t>
      </w:r>
    </w:p>
    <w:p>
      <w:pPr>
        <w:pStyle w:val="Normal"/>
      </w:pPr>
      <w:r>
        <w:t xml:space="preserve">Load-Date: July 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2026-10-22T20:15:01Z</dcterms:modified>
  <cp:category/>
</cp:coreProperties>
</file>