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2, 2026 Thursday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1818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LATAM MICRODRAMA STARTUP IDILIO RAISES $5.5 MILLION SEED WITH WNDRCO INVESTMENT</w:t>
      </w:r>
    </w:p>
    <w:p>
      <w:pPr>
        <w:pStyle w:val="Normal"/>
      </w:pPr>
      <w:r>
        <w:t xml:space="preserve">WndrCo backed a seed round worth 5.5 million for Idilio, a platform focused on microdrama for Latin America, with the news released on 4th June 2026. The investment highlights a trend toward technology enabled storytelling in regional markets. Idilio leverages an AI engine to streamline production while preserving cultural relevance. </w:t>
      </w:r>
    </w:p>
    <w:p>
      <w:pPr>
        <w:pStyle w:val="Normal"/>
      </w:pPr>
      <w:r>
        <w:t xml:space="preserve">Idilio was founded by Gabriela Tafur and Esteban Ramirez, combining the appeal of telenovelas with the fast pace of vertical video to reach mobile audiences across the region. </w:t>
      </w:r>
    </w:p>
    <w:p>
      <w:pPr>
        <w:pStyle w:val="Normal"/>
      </w:pPr>
      <w:r>
        <w:t xml:space="preserve">Within five months of launch, Idilio reports 1.5 million downloads across 93 countries and 40 million episodes streamed. Average daily viewing runs around 50 minutes, signaling strong engagement in a market where localized content matters. </w:t>
      </w:r>
    </w:p>
    <w:p>
      <w:pPr>
        <w:pStyle w:val="Normal"/>
      </w:pPr>
      <w:r>
        <w:t xml:space="preserve">The company also introduced Idilio Creators, a program that allows creators to monetize content directly on the platform, with profits fully returned to creators. Investors in the round include a16z Speedrun, Goodwater Capital, Precursor Ventures, and David Velez, alongside WndrCo.</w:t>
      </w:r>
    </w:p>
    <w:p>
      <w:pPr>
        <w:pStyle w:val="Normal"/>
      </w:pPr>
      <w:r>
        <w:t xml:space="preserve">+ NETOMI SECURES $110 MILLION ROUND AS ACCENTURE VENTURES, OTHERS BACK AI-POWERED CUSTOMER EXPERIENCE PLATFORM</w:t>
      </w:r>
    </w:p>
    <w:p>
      <w:pPr>
        <w:pStyle w:val="Normal"/>
      </w:pPr>
      <w:r>
        <w:t xml:space="preserve">San Francisco-based Netomi announced a $110 million funding round led by Accenture Ventures, with support from Adobe Ventures, WndrCo, SLW, NAVER Ventures, Metis Strategy and Fin Capital. The company disclosed the round on 6th May 2026, signaling growing investor interest in AI-powered customer experience platforms.\n\nNetomi’s platform is designed for production-scale agentic CX across chat, email and voice, and it already serves major clients including Delta Air Lines, United Airlines, MetLife and Paramount, with deployments such as the United Airlines mobile app integration.\n\nThe round includes a new global alliance with Accenture Song to help enterprises deploy Netomi’s technology with greater empathy and consistency. Ndidi Oteh, CEO of Accenture Song, said, \"Netomi's platform strengthens the connection between people and the brands they trust.\"\n\nOpenAI’s case study cited by Netomi underlines its track record of deploying agentic systems at scale without failures or regulatory breaches, reinforcing confidence in AI-enabled CX. The funding aligns with a broader shift toward reliable AI that navigates customer journeys more smoothly and reduces friction.</w:t>
      </w:r>
    </w:p>
    <w:p>
      <w:pPr>
        <w:pStyle w:val="Normal"/>
      </w:pPr>
      <w:r>
        <w:t xml:space="preserve">++++++++++++++++++++++++++++++++++++++++++++++++++++++++++++++++++++++++++++++++++++</w:t>
      </w:r>
    </w:p>
    <w:p>
      <w:pPr>
        <w:pStyle w:val="Normal"/>
      </w:pPr>
      <w:r>
        <w:t xml:space="preserve">+ GENERAL CATALYST [3 News That Matters]</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 AI-DRIVEN FIRM STANDARD BOTS BECOMES UNICORN ON $200M ROUND, VALUATION HITS $1B</w:t>
      </w:r>
    </w:p>
    <w:p>
      <w:pPr>
        <w:pStyle w:val="Normal"/>
      </w:pPr>
      <w:r>
        <w:t xml:space="preserve">Standard Bots has reached unicorn status after closing a $200 million Series C round 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known for his work at Bowery Farming and LeapPay, has helped scale the business and refine its automation approach, including the use of AI-native arms that learn by demonstration.</w:t>
      </w:r>
    </w:p>
    <w:p>
      <w:pPr>
        <w:pStyle w:val="Normal"/>
      </w:pPr>
      <w:r>
        <w:t xml:space="preserve">The firm deploys its technology across machining, welding and assembly at roughly 30% lower costs than legacy providers and counts Amazon, Lockheed Martin, NASA and the U.S. Army among its customers, alongside many small and mid-sized manufacturers. It designs actuators in-house and plans to manufacture nearly all components domestically by 2027 as part of a broader push to boost U.S. manufacturing.</w:t>
      </w:r>
    </w:p>
    <w:p>
      <w:pPr>
        <w:pStyle w:val="Normal"/>
      </w:pPr>
      <w:r>
        <w:t xml:space="preserve">++++++++++++++++++++++++++++++++++++++++++++++++++++++++++++++++++++++++++++++++++++</w:t>
      </w:r>
    </w:p>
    <w:p>
      <w:pPr>
        <w:pStyle w:val="Normal"/>
      </w:pPr>
      <w:r>
        <w:t xml:space="preserve">+ ANDREESSEN HOROWITZ [3 News That Matters]</w:t>
      </w:r>
    </w:p>
    <w:p>
      <w:pPr>
        <w:pStyle w:val="Normal"/>
      </w:pPr>
      <w:r>
        <w:t xml:space="preserve">+ PRIVACY TAKES CENTER STAGE AS A16Z CRYPTO INVESTS $100 MILLION IN CANTON</w:t>
      </w:r>
    </w:p>
    <w:p>
      <w:pPr>
        <w:pStyle w:val="Normal"/>
      </w:pPr>
      <w:r>
        <w:t xml:space="preserve">On Jun. 21, a16z Crypto disclosed a $100 million investment in Digital Asset, the firm behind the Canton blockchain, reflecting a privacy first approach to crypto funding.</w:t>
      </w:r>
    </w:p>
    <w:p>
      <w:pPr>
        <w:pStyle w:val="Normal"/>
      </w:pPr>
      <w:r>
        <w:t xml:space="preserve">The rationale is that privacy technology will enable institutional adoption of blockchain. While transparent ledgers have benefits, many institutions and retail users now seek confidentiality, making Canton and its CC token more attractive.</w:t>
      </w:r>
    </w:p>
    <w:p>
      <w:pPr>
        <w:pStyle w:val="Normal"/>
      </w:pPr>
      <w:r>
        <w:t xml:space="preserve">Canton’s CC token has benefited from this trend, with a market capitalization above $6.3 billion, trading near $0.16, and a circulating supply of about 38.8 billion.</w:t>
      </w:r>
    </w:p>
    <w:p>
      <w:pPr>
        <w:pStyle w:val="Normal"/>
      </w:pPr>
      <w:r>
        <w:t xml:space="preserve">Ali Yahya, general partner at a16z Crypto, said, "privacy will be the most important moat in crypto this year," underscoring the shift toward confidentiality as a standard for digital finance.</w:t>
      </w:r>
    </w:p>
    <w:p>
      <w:pPr>
        <w:pStyle w:val="Normal"/>
      </w:pPr>
      <w:r>
        <w:t xml:space="preserve">+ ANDREESSEN HOROWITZ LEADS $38 MILLION ROUND FOR CONVEY AS ENTERPRISE AI PLATFORM EXPANDS</w:t>
      </w:r>
    </w:p>
    <w:p>
      <w:pPr>
        <w:pStyle w:val="Normal"/>
      </w:pPr>
      <w:r>
        <w:t xml:space="preserve">SAN FRANCISCO--Convey today announced a $38 million Series A led by Andreessen Horowitz, bringing on a16z as an investor and adding Joe Schmidt to its board. The round also includes Khosla Ventures and Pear VC, with the announcement coming on 19th June 2026.</w:t>
      </w:r>
    </w:p>
    <w:p>
      <w:pPr>
        <w:pStyle w:val="Normal"/>
      </w:pPr>
      <w:r>
        <w:t xml:space="preserve">The company notes over one million hours of automated work completed for clients such as NBCUniversal, Samsara, TelevisaUnivision, Unity, Faire, and ChargePoint, as it looks to broaden its enterprise footprint and accelerate product development.</w:t>
      </w:r>
    </w:p>
    <w:p>
      <w:pPr>
        <w:pStyle w:val="Normal"/>
      </w:pPr>
      <w:r>
        <w:t xml:space="preserve">Convey says its platform lets teams onboard and manage their own AI workforce without coding, enabling digital teammates to learn tasks, gather context, and take ownership of duties that previously required manual effort. They can handle tasks like invoice processing, campaign reporting, and asset ingestion at scale.</w:t>
      </w:r>
    </w:p>
    <w:p>
      <w:pPr>
        <w:pStyle w:val="Normal"/>
      </w:pPr>
      <w:r>
        <w:t xml:space="preserve">The company plans to partner with IT departments to ensure governance and security, while aiming to deliver tangible returns from day one. The CEO notes the goal of making every operations team AI native by default.</w:t>
      </w:r>
    </w:p>
    <w:p>
      <w:pPr>
        <w:pStyle w:val="Normal"/>
      </w:pPr>
      <w:r>
        <w:t xml:space="preserve">+ STITCH RAISES $25 MILLION FROM ANDREESSEN HOROWITZ, HIGHLIGHTING REGIONAL FINTECH MOMENTUM</w:t>
      </w:r>
    </w:p>
    <w:p>
      <w:pPr>
        <w:pStyle w:val="Normal"/>
      </w:pPr>
      <w:r>
        <w:t xml:space="preserve">Stitch, a Saudi financial services startup, secured a $25 million investment from Andreessen Horowitz, announced on 17th June 2026, signaling momentum for the company and the region’s fintech push.</w:t>
      </w:r>
    </w:p>
    <w:p>
      <w:pPr>
        <w:pStyle w:val="Normal"/>
      </w:pPr>
      <w:r>
        <w:t xml:space="preserve">Founder and CEO Mohamed Oueida said the funding is a milestone that goes beyond Stitch, reflecting regional validation for a business model built around a unified platform.</w:t>
      </w:r>
    </w:p>
    <w:p>
      <w:pPr>
        <w:pStyle w:val="Normal"/>
      </w:pPr>
      <w:r>
        <w:t xml:space="preserve">The round will help Stitch accelerate growth across the GCC, Egypt, and Southeast Asia, including recent launches in the Philippines, as the company seeks to reduce fragmentation and modernize operations for banks and financial institutions.</w:t>
      </w:r>
    </w:p>
    <w:p>
      <w:pPr>
        <w:pStyle w:val="Normal"/>
      </w:pPr>
      <w:r>
        <w:t xml:space="preserve">Oueida has argued that legacy infrastructure and fragmentation hinder returns on technology investments, adding that the true potential of AI and cloud tools cannot be unlocked without a cohesive platform.</w:t>
      </w:r>
    </w:p>
    <w:p>
      <w:pPr>
        <w:pStyle w:val="Normal"/>
      </w:pPr>
      <w:r>
        <w:t xml:space="preserve">Stitch’s approach centers on a single operating system for financial software, aiming to cut the number of separate systems and enable faster deployment. The LuLu Exchange partnership in the UAE is highlighted as a proving ground, with plans to expand further into new markets such as the Philippines.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INDUSTRY TRENDS (90%);  BUSINESS REPORTS &amp; FORECASTS (90%);  INFORMATION TECHNOLOGY INDUSTRY (90%);  INNOVATION (90%);  FINANCIAL MARKET UPDATES (90%);  TRENDS (90%);  FINANCING ROUNDS (89%);  CUSTOMER RELATIONS (89%);  CUSTOMER EXPERIENCE (89%);  ARTIFICIAL INTELLIGENCE (88%);  BUSINESS NEWS (78%);  COMPANY ACTIVITIES &amp; MANAGEMENT (78%);  VENTURE CAPITAL (78%);  WRITERS (74%);  CYBERSECURITY (74%);  FORTUNE 500 COMPANIES (73%);  NEGATIVE TECHNOLOGY NEWS (73%);  ONLINE SECURITY &amp; PRIVACY (73%);  CYBERCRIME (73%);  TRAVEL APPS (67%);  MOBILE APPLICATIONS (67%); CUSTOMER RELATIONS (89%); HOLDING COMPANIES (90%); TECHNOLOGY (94%); BUSINESS REPORTS &amp; FORECASTS (90%); INNOVATION (90%); TRAVEL APPS (68%); FINANCING ROUNDS (89%); FINANCIAL MARKET UPDATES (90%); NEGATIVE TECHNOLOGY NEWS (72%); COMPANY ACTIVITIES &amp; MANAGEMENT (78%); VENTURE CAPITAL (78%); CUSTOMER EXPERIENCE (89%); WRITERS (75%); CYBERCRIME (69%); ARTIFICIAL INTELLIGENCE (89%); TRAVEL TECHNOLOGY (77%); FORTUNE 500 COMPANIES (73%); BUSINESS NEWS (78%); TRENDS (96%); INDUSTRY TRENDS (90%); ENTREPRENEURSHIP (90%)</w:t>
      </w:r>
    </w:p>
    <w:p>
      <w:pPr>
        <w:pStyle w:val="Normal"/>
      </w:pPr>
      <w:r>
        <w:t xml:space="preserve">Company:  ACCENTURE PLC (58%);  UNITED AIR LINES INC (50%);  DELTA AIR LINES INC (50%); WndrCo</w:t>
      </w:r>
    </w:p>
    <w:p>
      <w:pPr>
        <w:pStyle w:val="Normal"/>
      </w:pPr>
      <w:r>
        <w:t xml:space="preserve">Ticker: ACN (NYSE) (58%); DAL (NYSE) (50%); WNDRCO</w:t>
      </w:r>
    </w:p>
    <w:p>
      <w:pPr>
        <w:pStyle w:val="Normal"/>
      </w:pPr>
      <w:r>
        <w:t xml:space="preserve">Industry: NAICS541611 ADMINISTRATIVE MANAGEMENT &amp; GENERAL MANAGEMENT CONSULTING SERVICES (58%); SIC8742 MANAGEMENT CONSULTING SERVICES (58%); SIC4512 AIR TRANSPORTATION, SCHEDULED (50%); ONLINE SECURITY &amp; PRIVACY (69%); TRAVEL APPS (68%); MOBILE APPLICATIONS (68%); FINANCIAL MARKET UPDATES (90%); VENTURE CAPITAL (78%); CYBERSECURITY (75%); WRITERS (75%); CYBERCRIME (69%); ARTIFICIAL INTELLIGENCE (89%); TRAVEL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LATIN AMERICA (79%);  MIDDLE EAST (79%); LATIN AMERICA (79%); MIDDLE EAST (79%); United States; United States</w:t>
      </w:r>
    </w:p>
    <w:p>
      <w:pPr>
        <w:pStyle w:val="Normal"/>
      </w:pPr>
      <w:r>
        <w:t xml:space="preserve">Load-Date: July 3,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2026-10-22T20:15:06Z</dcterms:modified>
  <cp:category/>
</cp:coreProperties>
</file>