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Heading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Heading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457204237"/>
      <w:r>
        <w:t>Répartition sectorielle des contrôles</w:t>
      </w:r>
      <w:bookmarkEnd w:id="3"/>
    </w:p>
    <w:p w:rsidR="0032497E" w:rsidRPr="00231756" w:rsidRDefault="007230FE" w:rsidP="00231756">
      <w:pPr>
        <w:pStyle w:val="Textbody"/>
      </w:pPr>
      <w:r>
        <w:rPr>
          <w:noProof/>
          <w:lang w:val="en-US" w:eastAsia="en-US"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xmlns:cx1="http://schemas.microsoft.com/office/drawing/2015/9/8/chartex">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4" w:name="_Toc457204238"/>
      <w:r>
        <w:lastRenderedPageBreak/>
        <w:t>Résultat</w:t>
      </w:r>
      <w:r w:rsidR="00121D8A">
        <w:t xml:space="preserve"> du Diagnostic CASES</w:t>
      </w:r>
      <w:bookmarkEnd w:id="4"/>
    </w:p>
    <w:p w:rsidR="006C5388" w:rsidRDefault="006C5388" w:rsidP="006C5388">
      <w:pPr>
        <w:pStyle w:val="Heading2"/>
      </w:pPr>
      <w:bookmarkStart w:id="5" w:name="_Toc457204239"/>
      <w:r>
        <w:t>Synthèse</w:t>
      </w:r>
      <w:bookmarkEnd w:id="5"/>
    </w:p>
    <w:p w:rsidR="0039086F" w:rsidRDefault="0039086F" w:rsidP="0039086F">
      <w:pPr>
        <w:pStyle w:val="Textbody"/>
      </w:pPr>
      <w:r>
        <w:t>${EVALUATION_SYNTHESYS}</w:t>
      </w:r>
    </w:p>
    <w:p w:rsidR="00D40195" w:rsidRPr="006C5388" w:rsidRDefault="006C5388" w:rsidP="006C5388">
      <w:pPr>
        <w:pStyle w:val="Heading2"/>
      </w:pPr>
      <w:bookmarkStart w:id="6" w:name="_Toc457204240"/>
      <w:r w:rsidRPr="006C5388">
        <w:t>É</w:t>
      </w:r>
      <w:r w:rsidR="00D40195" w:rsidRPr="006C5388">
        <w:t>volution de la maturité</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7" w:name="_Toc457204241"/>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457204242"/>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w:t>
      </w:r>
      <w:r w:rsidR="00CA60E0">
        <w:rPr>
          <w:rFonts w:ascii="Century Schoolbook" w:hAnsi="Century Schoolbook"/>
          <w:sz w:val="22"/>
          <w:szCs w:val="22"/>
        </w:rPr>
        <w:t xml:space="preserve"> </w:t>
      </w:r>
      <w:r w:rsidR="0037631A">
        <w:rPr>
          <w:rFonts w:ascii="Century Schoolbook" w:hAnsi="Century Schoolbook"/>
          <w:sz w:val="22"/>
          <w:szCs w:val="22"/>
        </w:rPr>
        <w:t>« Légendes ».</w:t>
      </w:r>
      <w:r>
        <w:rPr>
          <w:rFonts w:ascii="Century Schoolbook" w:hAnsi="Century Schoolbook"/>
          <w:sz w:val="22"/>
          <w:szCs w:val="22"/>
        </w:rPr>
        <w:t xml:space="preserve"> Le détail des notes prises au regard des recommandations se trouve dans l'annexe A.</w:t>
      </w:r>
    </w:p>
    <w:p w:rsidR="00C76D8F" w:rsidRDefault="00C76D8F">
      <w:pPr>
        <w:pStyle w:val="Textbody"/>
      </w:pPr>
    </w:p>
    <w:p w:rsidR="00386D45" w:rsidRDefault="00CA60E0" w:rsidP="00CA60E0">
      <w:pPr>
        <w:pStyle w:val="Textbody"/>
      </w:pPr>
      <w:r>
        <w:t>${</w:t>
      </w:r>
      <w:r w:rsidR="005F41A0">
        <w:t>RECOMME</w:t>
      </w:r>
      <w:r w:rsidR="006E4D43" w:rsidRPr="006E4D43">
        <w:t>NDATION_TABLE</w:t>
      </w:r>
      <w:r>
        <w:t>}</w:t>
      </w:r>
    </w:p>
    <w:p w:rsidR="004C52F6" w:rsidRDefault="004C52F6" w:rsidP="00CA60E0">
      <w:pPr>
        <w:pStyle w:val="Textbody"/>
      </w:pPr>
    </w:p>
    <w:p w:rsidR="004C52F6" w:rsidRDefault="004C52F6" w:rsidP="00CA60E0">
      <w:pPr>
        <w:pStyle w:val="Textbody"/>
        <w:sectPr w:rsidR="004C52F6"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9" w:name="_Toc457204243"/>
      <w:r>
        <w:lastRenderedPageBreak/>
        <w:t>ANNEXE A : Prise de notes</w:t>
      </w:r>
      <w:bookmarkEnd w:id="9"/>
    </w:p>
    <w:p w:rsidR="000F0D94" w:rsidRDefault="000F0D94" w:rsidP="000F0D94">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p w:rsidR="000B4728" w:rsidRPr="000F0D94" w:rsidRDefault="000B4728" w:rsidP="000F0D94">
      <w:pPr>
        <w:pStyle w:val="Standard"/>
        <w:rPr>
          <w:rFonts w:ascii="Century Schoolbook" w:hAnsi="Century Schoolbook"/>
          <w:sz w:val="22"/>
          <w:szCs w:val="22"/>
          <w:lang w:val="fr-FR"/>
        </w:rPr>
      </w:pPr>
    </w:p>
    <w:p w:rsidR="000B4728" w:rsidRDefault="000B4728" w:rsidP="000B4728">
      <w:pPr>
        <w:pStyle w:val="Textbody"/>
        <w:sectPr w:rsidR="000B4728"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0" w:name="_Toc457204244"/>
      <w:r>
        <w:lastRenderedPageBreak/>
        <w:t>ANNEXE B : Légendes</w:t>
      </w:r>
      <w:bookmarkEnd w:id="10"/>
    </w:p>
    <w:p w:rsidR="00C76D8F" w:rsidRDefault="00121D8A" w:rsidP="00FA58BB">
      <w:pPr>
        <w:pStyle w:val="Heading2"/>
        <w:numPr>
          <w:ilvl w:val="0"/>
          <w:numId w:val="0"/>
        </w:numPr>
        <w:ind w:left="576" w:hanging="576"/>
      </w:pPr>
      <w:bookmarkStart w:id="11" w:name="__RefHeading__4669_1101551814"/>
      <w:bookmarkStart w:id="12" w:name="_Toc361922106"/>
      <w:bookmarkStart w:id="13" w:name="_Toc457204245"/>
      <w:r>
        <w:t>Légende pour l’appréciation des recommandations</w:t>
      </w:r>
      <w:bookmarkEnd w:id="11"/>
      <w:bookmarkEnd w:id="12"/>
      <w:bookmarkEnd w:id="13"/>
    </w:p>
    <w:p w:rsidR="00A47FCF" w:rsidRDefault="00A47FCF" w:rsidP="00A47FCF">
      <w:pPr>
        <w:pStyle w:val="Textbody"/>
      </w:pPr>
      <w:bookmarkStart w:id="14" w:name="_Toc361922107"/>
      <w:bookmarkStart w:id="15" w:name="__RefHeading__4671_1101551814"/>
      <w:r>
        <w:t xml:space="preserve">Chaque recommandation comporte une indication du degré </w:t>
      </w:r>
      <w:r w:rsidR="00461900">
        <w:t>d’importance :</w:t>
      </w:r>
    </w:p>
    <w:p w:rsidR="00A47FCF" w:rsidRDefault="009B7CF6" w:rsidP="00647E0A">
      <w:pPr>
        <w:pStyle w:val="Textbody"/>
        <w:tabs>
          <w:tab w:val="left" w:pos="1080"/>
        </w:tabs>
        <w:ind w:left="360"/>
      </w:pPr>
      <w:r>
        <w:rPr>
          <w:b/>
          <w:bCs/>
          <w:color w:val="FF0000"/>
          <w:sz w:val="24"/>
        </w:rPr>
        <w:t>●●●</w:t>
      </w:r>
      <w:r w:rsidR="00797934">
        <w:t> :</w:t>
      </w:r>
      <w:r w:rsidR="00A47FCF">
        <w:rPr>
          <w:color w:val="FF0000"/>
        </w:rPr>
        <w:t xml:space="preserve"> </w:t>
      </w:r>
      <w:r w:rsidR="00A47FCF">
        <w:t>Risque très important qui doit être traité en urgence.</w:t>
      </w:r>
    </w:p>
    <w:p w:rsidR="00A47FCF" w:rsidRDefault="009B7CF6" w:rsidP="00647E0A">
      <w:pPr>
        <w:pStyle w:val="Textbody"/>
        <w:ind w:left="360"/>
      </w:pPr>
      <w:r>
        <w:rPr>
          <w:b/>
          <w:bCs/>
          <w:color w:val="FF0000"/>
          <w:sz w:val="24"/>
        </w:rPr>
        <w:t>●●</w:t>
      </w:r>
      <w:r w:rsidR="00647E0A">
        <w:tab/>
      </w:r>
      <w:r w:rsidR="00A47FCF" w:rsidRPr="00A47FCF">
        <w:t>:</w:t>
      </w:r>
      <w:r w:rsidR="00A47FCF">
        <w:rPr>
          <w:color w:val="FF0000"/>
        </w:rPr>
        <w:t xml:space="preserve"> </w:t>
      </w:r>
      <w:r w:rsidR="00A47FCF">
        <w:t>Risque important nécessitant une attention particulière.</w:t>
      </w:r>
    </w:p>
    <w:p w:rsidR="00A47FCF" w:rsidRDefault="009B7CF6" w:rsidP="00647E0A">
      <w:pPr>
        <w:pStyle w:val="Textbody"/>
        <w:tabs>
          <w:tab w:val="left" w:pos="1080"/>
        </w:tabs>
        <w:ind w:left="1416" w:hanging="1056"/>
      </w:pPr>
      <w:r>
        <w:rPr>
          <w:b/>
          <w:bCs/>
          <w:color w:val="FF0000"/>
          <w:sz w:val="24"/>
        </w:rPr>
        <w:t>●</w:t>
      </w:r>
      <w:r>
        <w:t xml:space="preserve"> </w:t>
      </w:r>
      <w:r w:rsidR="00A47FCF" w:rsidRPr="00A47FCF">
        <w:t>:</w:t>
      </w:r>
      <w:bookmarkStart w:id="16" w:name="_GoBack"/>
      <w:bookmarkEnd w:id="16"/>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7" w:name="_Toc457204246"/>
      <w:r>
        <w:t>Légende du tableau d’évaluation détaillé</w:t>
      </w:r>
      <w:bookmarkEnd w:id="14"/>
      <w:bookmarkEnd w:id="15"/>
      <w:bookmarkEnd w:id="17"/>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F52C11" w:rsidRDefault="00F52C11" w:rsidP="00507A66">
            <w:pPr>
              <w:pStyle w:val="Textbody"/>
              <w:spacing w:after="0"/>
              <w:ind w:right="0"/>
              <w:jc w:val="center"/>
              <w:rPr>
                <w:rFonts w:ascii="Wingdings 2" w:hAnsi="Wingdings 2" w:cs="Calibri"/>
                <w:b/>
                <w:bCs/>
                <w:color w:val="FFCC66"/>
                <w:szCs w:val="22"/>
                <w:lang w:eastAsia="fr-LU"/>
              </w:rPr>
            </w:pPr>
            <w:r w:rsidRPr="00F52C11">
              <w:rPr>
                <w:rFonts w:eastAsia="Century Schoolbook" w:cs="Century Schoolbook"/>
                <w:b/>
                <w:bCs/>
                <w:szCs w:val="22"/>
              </w:rPr>
              <w:t>N/A</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8B5DAF" w:rsidRPr="00F52C11" w:rsidRDefault="00121D8A">
      <w:pPr>
        <w:pStyle w:val="Textbody"/>
        <w:rPr>
          <w:rFonts w:ascii="Wingdings 2" w:hAnsi="Wingdings 2"/>
        </w:rPr>
      </w:pPr>
      <w:r>
        <w:rPr>
          <w:b/>
        </w:rPr>
        <w:t xml:space="preserve">Évaluation de la maturité </w:t>
      </w:r>
      <w:r>
        <w:t>:</w:t>
      </w:r>
      <w:r w:rsidR="00F52C11">
        <w:t xml:space="preserve"> </w:t>
      </w:r>
    </w:p>
    <w:tbl>
      <w:tblPr>
        <w:tblpPr w:leftFromText="180" w:rightFromText="180" w:vertAnchor="text" w:horzAnchor="page" w:tblpX="1621" w:tblpY="128"/>
        <w:tblW w:w="548" w:type="dxa"/>
        <w:tblLayout w:type="fixed"/>
        <w:tblCellMar>
          <w:left w:w="10" w:type="dxa"/>
          <w:right w:w="10" w:type="dxa"/>
        </w:tblCellMar>
        <w:tblLook w:val="04A0" w:firstRow="1" w:lastRow="0" w:firstColumn="1" w:lastColumn="0" w:noHBand="0" w:noVBand="1"/>
      </w:tblPr>
      <w:tblGrid>
        <w:gridCol w:w="548"/>
      </w:tblGrid>
      <w:tr w:rsidR="00F52C11" w:rsidRPr="004434C0" w:rsidTr="006C3EA6">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52C11" w:rsidRPr="007D6515" w:rsidRDefault="00F52C11" w:rsidP="00F52C11">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r>
    </w:tbl>
    <w:p w:rsidR="00F52C11" w:rsidRDefault="00F52C11" w:rsidP="002C0C80">
      <w:pPr>
        <w:pStyle w:val="Textbody"/>
        <w:spacing w:after="0"/>
      </w:pPr>
    </w:p>
    <w:p w:rsidR="00C76D8F" w:rsidRPr="00F52C11" w:rsidRDefault="00C9469F" w:rsidP="002C0C80">
      <w:pPr>
        <w:pStyle w:val="Textbody"/>
        <w:spacing w:after="0"/>
        <w:rPr>
          <w:rFonts w:ascii="Wingdings 2" w:hAnsi="Wingdings 2" w:cs="Calibri"/>
          <w:b/>
          <w:bCs/>
          <w:color w:val="70AD47" w:themeColor="accent6"/>
          <w:sz w:val="28"/>
          <w:szCs w:val="32"/>
          <w:lang w:eastAsia="fr-LU"/>
        </w:rPr>
      </w:pPr>
      <w:r>
        <w:t xml:space="preserve">: La </w:t>
      </w:r>
      <w:r w:rsidR="00121D8A">
        <w:t>mesure de sécurité est correctement implémentée.</w:t>
      </w:r>
    </w:p>
    <w:tbl>
      <w:tblPr>
        <w:tblpPr w:leftFromText="180" w:rightFromText="180" w:vertAnchor="text" w:horzAnchor="page" w:tblpX="1633" w:tblpY="415"/>
        <w:tblW w:w="537" w:type="dxa"/>
        <w:tblLayout w:type="fixed"/>
        <w:tblCellMar>
          <w:left w:w="10" w:type="dxa"/>
          <w:right w:w="10" w:type="dxa"/>
        </w:tblCellMar>
        <w:tblLook w:val="04A0" w:firstRow="1" w:lastRow="0" w:firstColumn="1" w:lastColumn="0" w:noHBand="0" w:noVBand="1"/>
      </w:tblPr>
      <w:tblGrid>
        <w:gridCol w:w="537"/>
      </w:tblGrid>
      <w:tr w:rsidR="00F52C11" w:rsidRPr="004434C0" w:rsidTr="006C3EA6">
        <w:trPr>
          <w:trHeight w:val="115"/>
          <w:tblHeader/>
        </w:trPr>
        <w:tc>
          <w:tcPr>
            <w:tcW w:w="537"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52C11" w:rsidRPr="007D6515" w:rsidRDefault="006C3EA6" w:rsidP="00F52C11">
            <w:pPr>
              <w:pStyle w:val="Textbody"/>
              <w:spacing w:after="0"/>
              <w:ind w:right="0"/>
              <w:jc w:val="center"/>
              <w:rPr>
                <w:rFonts w:ascii="Wingdings2" w:hAnsi="Wingdings2" w:hint="eastAsia"/>
                <w:color w:val="006000"/>
                <w:sz w:val="32"/>
                <w:szCs w:val="32"/>
              </w:rPr>
            </w:pPr>
            <w:r w:rsidRPr="008A6471">
              <w:rPr>
                <w:rFonts w:eastAsia="Century Schoolbook" w:cs="Century Schoolbook"/>
                <w:b/>
                <w:bCs/>
                <w:color w:val="FBF493"/>
                <w:sz w:val="40"/>
                <w:szCs w:val="32"/>
                <w:lang w:eastAsia="fr-LU"/>
              </w:rPr>
              <w:t>±</w:t>
            </w:r>
          </w:p>
        </w:tc>
      </w:tr>
    </w:tbl>
    <w:p w:rsidR="00F52C11" w:rsidRDefault="00F86165" w:rsidP="00F52C11">
      <w:pPr>
        <w:pStyle w:val="Textbody"/>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C76D8F" w:rsidRPr="00F52C11" w:rsidRDefault="00C9469F" w:rsidP="00F52C11">
      <w:pPr>
        <w:pStyle w:val="Textbody"/>
        <w:rPr>
          <w:rFonts w:eastAsia="Century Schoolbook" w:cs="Century Schoolbook"/>
          <w:b/>
          <w:bCs/>
          <w:color w:val="FBF493"/>
          <w:sz w:val="36"/>
          <w:szCs w:val="32"/>
          <w:lang w:eastAsia="fr-LU"/>
        </w:rPr>
      </w:pPr>
      <w:r>
        <w:rPr>
          <w:szCs w:val="22"/>
        </w:rPr>
        <w:t xml:space="preserve">: La </w:t>
      </w:r>
      <w:r w:rsidR="00121D8A">
        <w:rPr>
          <w:szCs w:val="22"/>
        </w:rPr>
        <w:t>mesure de sécurité est partiellement implémentée.</w:t>
      </w:r>
    </w:p>
    <w:tbl>
      <w:tblPr>
        <w:tblpPr w:leftFromText="180" w:rightFromText="180" w:vertAnchor="text" w:horzAnchor="page" w:tblpX="1633" w:tblpY="222"/>
        <w:tblW w:w="548" w:type="dxa"/>
        <w:tblLayout w:type="fixed"/>
        <w:tblCellMar>
          <w:left w:w="10" w:type="dxa"/>
          <w:right w:w="10" w:type="dxa"/>
        </w:tblCellMar>
        <w:tblLook w:val="04A0" w:firstRow="1" w:lastRow="0" w:firstColumn="1" w:lastColumn="0" w:noHBand="0" w:noVBand="1"/>
      </w:tblPr>
      <w:tblGrid>
        <w:gridCol w:w="548"/>
      </w:tblGrid>
      <w:tr w:rsidR="00F52C11" w:rsidRPr="004434C0" w:rsidTr="006C3EA6">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52C11" w:rsidRPr="007D6515" w:rsidRDefault="006C3EA6" w:rsidP="00F52C11">
            <w:pPr>
              <w:pStyle w:val="Textbody"/>
              <w:spacing w:after="0"/>
              <w:ind w:right="0"/>
              <w:jc w:val="center"/>
              <w:rPr>
                <w:rFonts w:ascii="Wingdings2" w:hAnsi="Wingdings2" w:hint="eastAsia"/>
                <w:color w:val="006000"/>
                <w:sz w:val="32"/>
                <w:szCs w:val="32"/>
              </w:rPr>
            </w:pPr>
            <w:r w:rsidRPr="00F52C11">
              <w:rPr>
                <w:rFonts w:eastAsia="Century Schoolbook" w:cs="Century Schoolbook"/>
                <w:b/>
                <w:bCs/>
                <w:szCs w:val="22"/>
              </w:rPr>
              <w:t>N/A</w:t>
            </w:r>
          </w:p>
        </w:tc>
      </w:tr>
    </w:tbl>
    <w:p w:rsidR="00F52C11" w:rsidRDefault="00F52C11">
      <w:pPr>
        <w:pStyle w:val="Textbody"/>
        <w:rPr>
          <w:rFonts w:ascii="Wingdings 2" w:hAnsi="Wingdings 2" w:cs="Calibri"/>
          <w:b/>
          <w:bCs/>
          <w:color w:val="000000"/>
          <w:sz w:val="24"/>
          <w:lang w:eastAsia="fr-LU"/>
        </w:rPr>
      </w:pPr>
    </w:p>
    <w:p w:rsidR="00C76D8F" w:rsidRDefault="00121D8A">
      <w:pPr>
        <w:pStyle w:val="Textbody"/>
      </w:pPr>
      <w:r>
        <w:t xml:space="preserve">: L’implémentation de la mesure de sécurité </w:t>
      </w:r>
      <w:r w:rsidR="00F52C11">
        <w:t>n’est pas applicable</w:t>
      </w:r>
      <w:r>
        <w:t>.</w:t>
      </w:r>
    </w:p>
    <w:tbl>
      <w:tblPr>
        <w:tblpPr w:leftFromText="180" w:rightFromText="180" w:vertAnchor="text" w:horzAnchor="page" w:tblpX="1633" w:tblpY="220"/>
        <w:tblW w:w="548" w:type="dxa"/>
        <w:tblLayout w:type="fixed"/>
        <w:tblCellMar>
          <w:left w:w="10" w:type="dxa"/>
          <w:right w:w="10" w:type="dxa"/>
        </w:tblCellMar>
        <w:tblLook w:val="04A0" w:firstRow="1" w:lastRow="0" w:firstColumn="1" w:lastColumn="0" w:noHBand="0" w:noVBand="1"/>
      </w:tblPr>
      <w:tblGrid>
        <w:gridCol w:w="548"/>
      </w:tblGrid>
      <w:tr w:rsidR="00F52C11" w:rsidRPr="004434C0" w:rsidTr="006C3EA6">
        <w:trPr>
          <w:trHeight w:val="475"/>
          <w:tblHeader/>
        </w:trPr>
        <w:tc>
          <w:tcPr>
            <w:tcW w:w="548"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F52C11" w:rsidRPr="007D6515" w:rsidRDefault="006C3EA6" w:rsidP="00F52C11">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C00000"/>
                <w:sz w:val="32"/>
                <w:szCs w:val="32"/>
                <w:lang w:eastAsia="fr-LU"/>
              </w:rPr>
              <w:t></w:t>
            </w:r>
          </w:p>
        </w:tc>
      </w:tr>
    </w:tbl>
    <w:p w:rsidR="00F52C11" w:rsidRDefault="00121D8A">
      <w:pPr>
        <w:pStyle w:val="Textbody"/>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C76D8F" w:rsidRDefault="00121D8A">
      <w:pPr>
        <w:pStyle w:val="Textbody"/>
        <w:rPr>
          <w:szCs w:val="22"/>
        </w:rPr>
      </w:pPr>
      <w:r w:rsidRPr="00F86165">
        <w:rPr>
          <w:szCs w:val="22"/>
        </w:rPr>
        <w:t xml:space="preserve">: La mesure de sécurité </w:t>
      </w:r>
      <w:r w:rsidR="00F52C11">
        <w:rPr>
          <w:szCs w:val="22"/>
        </w:rPr>
        <w:t>n’est</w:t>
      </w:r>
      <w:r w:rsidRPr="00F86165">
        <w:rPr>
          <w:szCs w:val="22"/>
        </w:rPr>
        <w:t xml:space="preserve"> pas en place.</w:t>
      </w:r>
    </w:p>
    <w:p w:rsidR="00F52C11" w:rsidRPr="00F52C11" w:rsidRDefault="00F52C11">
      <w:pPr>
        <w:pStyle w:val="Textbody"/>
        <w:rPr>
          <w:rFonts w:ascii="Wingdings 2" w:hAnsi="Wingdings 2" w:cs="Calibri"/>
          <w:b/>
          <w:bCs/>
          <w:color w:val="000000"/>
          <w:szCs w:val="22"/>
          <w:lang w:eastAsia="fr-LU"/>
        </w:rPr>
      </w:pP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98E" w:rsidRDefault="003F398E">
      <w:r>
        <w:separator/>
      </w:r>
    </w:p>
  </w:endnote>
  <w:endnote w:type="continuationSeparator" w:id="0">
    <w:p w:rsidR="003F398E" w:rsidRDefault="003F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5B23F5">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5B23F5">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xmlns:cx1="http://schemas.microsoft.com/office/drawing/2015/9/8/chartex">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C9469F">
      <w:rPr>
        <w:noProof/>
      </w:rPr>
      <w:t>7</w:t>
    </w:r>
    <w:r w:rsidR="00121D8A">
      <w:fldChar w:fldCharType="end"/>
    </w:r>
    <w:r w:rsidR="00121D8A">
      <w:rPr>
        <w:sz w:val="20"/>
        <w:szCs w:val="20"/>
      </w:rPr>
      <w:t>/</w:t>
    </w:r>
    <w:fldSimple w:instr=" NUMPAGES \* ARABIC ">
      <w:r w:rsidR="00C9469F">
        <w:rPr>
          <w:noProof/>
        </w:rPr>
        <w:t>8</w:t>
      </w:r>
    </w:fldSimple>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5B23F5">
      <w:rPr>
        <w:noProof/>
      </w:rPr>
      <w:t>8</w:t>
    </w:r>
    <w:r w:rsidR="00121D8A">
      <w:fldChar w:fldCharType="end"/>
    </w:r>
    <w:r w:rsidR="00121D8A">
      <w:rPr>
        <w:sz w:val="20"/>
        <w:szCs w:val="20"/>
      </w:rPr>
      <w:t>/</w:t>
    </w:r>
    <w:fldSimple w:instr=" NUMPAGES \* ARABIC ">
      <w:r w:rsidR="005B23F5">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98E" w:rsidRDefault="003F398E">
      <w:r>
        <w:rPr>
          <w:color w:val="000000"/>
        </w:rPr>
        <w:separator/>
      </w:r>
    </w:p>
  </w:footnote>
  <w:footnote w:type="continuationSeparator" w:id="0">
    <w:p w:rsidR="003F398E" w:rsidRDefault="003F39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3F398E"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484CB4">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3F398E"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alt="https://diagnostic.cases.lu/img/gravity_3.png" style="width:20.4pt;height:20.4pt;visibility:visible;mso-wrap-style:square" o:bullet="t">
        <v:imagedata r:id="rId1" o:title="gravity_3"/>
      </v:shape>
    </w:pict>
  </w:numPicBullet>
  <w:numPicBullet w:numPicBulletId="1">
    <w:pict>
      <v:shape id="_x0000_i1456" type="#_x0000_t75" alt="https://diagnostic.cases.lu/img/gravity_2.png" style="width:20.4pt;height:20.4pt;visibility:visible;mso-wrap-style:square" o:bullet="t">
        <v:imagedata r:id="rId2" o:title="gravity_2"/>
      </v:shape>
    </w:pict>
  </w:numPicBullet>
  <w:numPicBullet w:numPicBulletId="2">
    <w:pict>
      <v:shape id="_x0000_i1457"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B4728"/>
    <w:rsid w:val="000E449E"/>
    <w:rsid w:val="000F0D94"/>
    <w:rsid w:val="001054A3"/>
    <w:rsid w:val="001148A1"/>
    <w:rsid w:val="00121D8A"/>
    <w:rsid w:val="00133CC1"/>
    <w:rsid w:val="00161835"/>
    <w:rsid w:val="00183BCC"/>
    <w:rsid w:val="001874EA"/>
    <w:rsid w:val="00204EF0"/>
    <w:rsid w:val="00231756"/>
    <w:rsid w:val="002A3064"/>
    <w:rsid w:val="002C0C80"/>
    <w:rsid w:val="002E0FB9"/>
    <w:rsid w:val="0032497E"/>
    <w:rsid w:val="003311FA"/>
    <w:rsid w:val="00350A33"/>
    <w:rsid w:val="0037631A"/>
    <w:rsid w:val="00386D45"/>
    <w:rsid w:val="0039086F"/>
    <w:rsid w:val="00391D64"/>
    <w:rsid w:val="003B04F6"/>
    <w:rsid w:val="003D11F8"/>
    <w:rsid w:val="003F0DFB"/>
    <w:rsid w:val="003F398E"/>
    <w:rsid w:val="00406B81"/>
    <w:rsid w:val="004425BA"/>
    <w:rsid w:val="00450767"/>
    <w:rsid w:val="00461900"/>
    <w:rsid w:val="004701F8"/>
    <w:rsid w:val="00471148"/>
    <w:rsid w:val="00484CB4"/>
    <w:rsid w:val="004B5350"/>
    <w:rsid w:val="004C0653"/>
    <w:rsid w:val="004C52F6"/>
    <w:rsid w:val="004D51CE"/>
    <w:rsid w:val="004E70B8"/>
    <w:rsid w:val="00501579"/>
    <w:rsid w:val="0051310C"/>
    <w:rsid w:val="00526D2C"/>
    <w:rsid w:val="005369A3"/>
    <w:rsid w:val="00541994"/>
    <w:rsid w:val="00594FA8"/>
    <w:rsid w:val="005B23F5"/>
    <w:rsid w:val="005D10B8"/>
    <w:rsid w:val="005D5D3F"/>
    <w:rsid w:val="005E7DAB"/>
    <w:rsid w:val="005F41A0"/>
    <w:rsid w:val="00612A35"/>
    <w:rsid w:val="006368B6"/>
    <w:rsid w:val="00647E0A"/>
    <w:rsid w:val="00681D3C"/>
    <w:rsid w:val="006C3EA6"/>
    <w:rsid w:val="006C5388"/>
    <w:rsid w:val="006E1974"/>
    <w:rsid w:val="006E4D43"/>
    <w:rsid w:val="006E7AD1"/>
    <w:rsid w:val="006F01E4"/>
    <w:rsid w:val="006F7DD1"/>
    <w:rsid w:val="00703920"/>
    <w:rsid w:val="007230FE"/>
    <w:rsid w:val="00770C22"/>
    <w:rsid w:val="0079317B"/>
    <w:rsid w:val="00797934"/>
    <w:rsid w:val="007D6515"/>
    <w:rsid w:val="007F18C2"/>
    <w:rsid w:val="007F53F1"/>
    <w:rsid w:val="008021CF"/>
    <w:rsid w:val="00826BDC"/>
    <w:rsid w:val="00864259"/>
    <w:rsid w:val="008768F9"/>
    <w:rsid w:val="00890F82"/>
    <w:rsid w:val="00897CDB"/>
    <w:rsid w:val="008A4B97"/>
    <w:rsid w:val="008B55C8"/>
    <w:rsid w:val="008B5DAF"/>
    <w:rsid w:val="008D21FE"/>
    <w:rsid w:val="00925866"/>
    <w:rsid w:val="00935E6C"/>
    <w:rsid w:val="009942E3"/>
    <w:rsid w:val="009A4D06"/>
    <w:rsid w:val="009A63F5"/>
    <w:rsid w:val="009B7CF6"/>
    <w:rsid w:val="009D61F3"/>
    <w:rsid w:val="009E0A34"/>
    <w:rsid w:val="009F5AEE"/>
    <w:rsid w:val="009F5F3C"/>
    <w:rsid w:val="00A47FCF"/>
    <w:rsid w:val="00A97B07"/>
    <w:rsid w:val="00B13C47"/>
    <w:rsid w:val="00B3577B"/>
    <w:rsid w:val="00B510A0"/>
    <w:rsid w:val="00B671F9"/>
    <w:rsid w:val="00B87A69"/>
    <w:rsid w:val="00BE2EE7"/>
    <w:rsid w:val="00BE4528"/>
    <w:rsid w:val="00C11136"/>
    <w:rsid w:val="00C216E4"/>
    <w:rsid w:val="00C232A6"/>
    <w:rsid w:val="00C432F5"/>
    <w:rsid w:val="00C64347"/>
    <w:rsid w:val="00C74171"/>
    <w:rsid w:val="00C76D8F"/>
    <w:rsid w:val="00C808B4"/>
    <w:rsid w:val="00C920A8"/>
    <w:rsid w:val="00C94439"/>
    <w:rsid w:val="00C9469F"/>
    <w:rsid w:val="00C9745D"/>
    <w:rsid w:val="00CA60E0"/>
    <w:rsid w:val="00CE0DA9"/>
    <w:rsid w:val="00CE70C5"/>
    <w:rsid w:val="00D10F93"/>
    <w:rsid w:val="00D11A3D"/>
    <w:rsid w:val="00D257CB"/>
    <w:rsid w:val="00D2760C"/>
    <w:rsid w:val="00D40195"/>
    <w:rsid w:val="00D552DB"/>
    <w:rsid w:val="00D769DC"/>
    <w:rsid w:val="00D83E44"/>
    <w:rsid w:val="00DB6AA8"/>
    <w:rsid w:val="00DC06F1"/>
    <w:rsid w:val="00DD6FE5"/>
    <w:rsid w:val="00DF1CD9"/>
    <w:rsid w:val="00DF53AC"/>
    <w:rsid w:val="00DF5AF5"/>
    <w:rsid w:val="00E05367"/>
    <w:rsid w:val="00E85E11"/>
    <w:rsid w:val="00E903B0"/>
    <w:rsid w:val="00EA55B1"/>
    <w:rsid w:val="00ED4923"/>
    <w:rsid w:val="00ED6E8E"/>
    <w:rsid w:val="00F06ED1"/>
    <w:rsid w:val="00F130D6"/>
    <w:rsid w:val="00F17254"/>
    <w:rsid w:val="00F21D68"/>
    <w:rsid w:val="00F416F2"/>
    <w:rsid w:val="00F42034"/>
    <w:rsid w:val="00F431CA"/>
    <w:rsid w:val="00F45517"/>
    <w:rsid w:val="00F47713"/>
    <w:rsid w:val="00F52C11"/>
    <w:rsid w:val="00F56B45"/>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35F78"/>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AF"/>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5998F-C671-4C91-80DB-037B9C94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28</cp:revision>
  <dcterms:created xsi:type="dcterms:W3CDTF">2016-07-25T07:44:00Z</dcterms:created>
  <dcterms:modified xsi:type="dcterms:W3CDTF">2018-04-19T11:49:00Z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