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1.0</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confidentiel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Vesperia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Diagnostic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Jerome De Almeida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Smile</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1.0</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confidentiel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Vesperia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Diagnostic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Jerome De Almeida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Smile</w:t>
                            </w:r>
                          </w:p>
                        </w:tc>
                      </w:tr>
                    </w:tbl>
                    <w:p w:rsidR="005D10B8" w:rsidRDefault="005D10B8"/>
                  </w:txbxContent>
                </v:textbox>
                <w10:wrap type="square" side="left" anchorx="margin" anchory="margin"/>
              </v:shape>
            </w:pict>
          </mc:Fallback>
        </mc:AlternateContent>
      </w:r>
      <w:r>
        <w:t>Diagnostic</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Vesperia</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val="fr-CH" w:eastAsia="fr-CH" w:bidi="ar-SA"/>
        </w:rPr>
        <w:drawing>
          <wp:inline distT="0" distB="0" distL="0" distR="0">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bookmarkStart w:id="0" w:name="_GoBack"/>
      <w:bookmarkEnd w:id="0"/>
      <w:r w:rsidR="00133CC1">
        <w:rPr>
          <w:noProof/>
          <w:lang w:val="fr-CH" w:eastAsia="fr-CH" w:bidi="ar-SA"/>
        </w:rPr>
        <w:drawing>
          <wp:anchor distT="0" distB="0" distL="0" distR="0" simplePos="0" relativeHeight="83886080" behindDoc="0" locked="0" layoutInCell="1" allowOverlap="1" wp14:anchorId="1D6861B3" wp14:editId="4878D603">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0"/>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Le niveau de maturité calculé par le Diagnostic est calculé sur xxx points. Le niveau actuel est estimé à environ xxx points. Ce résultat montre que l’administration communale est déjà 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lastRenderedPageBreak/>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808B4" w:rsidP="00C808B4">
      <w:pPr>
        <w:pStyle w:val="Textbody"/>
        <w:jc w:val="center"/>
      </w:pPr>
      <w:r>
        <w:rPr>
          <w:noProof/>
          <w:lang w:val="fr-CH" w:eastAsia="fr-CH" w:bidi="ar-SA"/>
        </w:rPr>
        <w:drawing>
          <wp:inline distT="0" distB="0" distL="0" distR="0" wp14:anchorId="591D9B69" wp14:editId="5FDFF71D">
            <wp:extent cx="1409700" cy="581025"/>
            <wp:effectExtent l="0" t="0" r="0" b="9525"/>
            <wp:docPr id="10" name="Picture 10" descr="C:\Users\stagiaire\Documents\Autre\legend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Documents\Autre\legend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581025"/>
                    </a:xfrm>
                    <a:prstGeom prst="rect">
                      <a:avLst/>
                    </a:prstGeom>
                    <a:noFill/>
                    <a:ln>
                      <a:noFill/>
                    </a:ln>
                  </pic:spPr>
                </pic:pic>
              </a:graphicData>
            </a:graphic>
          </wp:inline>
        </w:drawing>
      </w: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lastRenderedPageBreak/>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Fort</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Faible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Moyen</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5"/>
          <w:footerReference w:type="default" r:id="rId16"/>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7"/>
          <w:footerReference w:type="default" r:id="rId18"/>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9"/>
      <w:footerReference w:type="default" r:id="rId20"/>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C808B4">
      <w:rPr>
        <w:noProof/>
      </w:rPr>
      <w:t>6</w:t>
    </w:r>
    <w:r>
      <w:fldChar w:fldCharType="end"/>
    </w:r>
    <w:r>
      <w:rPr>
        <w:sz w:val="20"/>
        <w:szCs w:val="20"/>
      </w:rPr>
      <w:t>/</w:t>
    </w:r>
    <w:r>
      <w:rPr>
        <w:sz w:val="20"/>
        <w:szCs w:val="20"/>
      </w:rPr>
      <w:fldChar w:fldCharType="begin"/>
    </w:r>
    <w:r>
      <w:instrText>NUMPAGES</w:instrText>
    </w:r>
    <w:r>
      <w:fldChar w:fldCharType="separate"/>
    </w:r>
    <w:r w:rsidR="00C808B4">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C808B4">
      <w:rPr>
        <w:noProof/>
      </w:rPr>
      <w:t>9</w:t>
    </w:r>
    <w:r w:rsidR="00121D8A">
      <w:fldChar w:fldCharType="end"/>
    </w:r>
    <w:r w:rsidR="00121D8A">
      <w:rPr>
        <w:sz w:val="20"/>
        <w:szCs w:val="20"/>
      </w:rPr>
      <w:t>/</w:t>
    </w:r>
    <w:fldSimple w:instr=" NUMPAGES \* ARABIC ">
      <w:r w:rsidR="00C808B4">
        <w:rPr>
          <w:noProof/>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C808B4">
      <w:rPr>
        <w:noProof/>
      </w:rPr>
      <w:t>10</w:t>
    </w:r>
    <w:r w:rsidR="00121D8A">
      <w:fldChar w:fldCharType="end"/>
    </w:r>
    <w:r w:rsidR="00121D8A">
      <w:rPr>
        <w:sz w:val="20"/>
        <w:szCs w:val="20"/>
      </w:rPr>
      <w:t>/</w:t>
    </w:r>
    <w:fldSimple w:instr=" NUMPAGES \* ARABIC ">
      <w:r w:rsidR="00C808B4">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Vesperia</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confidentiel</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1.0</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Vesperia</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confidentiel</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1.0</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64259"/>
    <w:rsid w:val="008B55C8"/>
    <w:rsid w:val="00935E6C"/>
    <w:rsid w:val="009A63F5"/>
    <w:rsid w:val="009F5F3C"/>
    <w:rsid w:val="00A97B07"/>
    <w:rsid w:val="00BE2EE7"/>
    <w:rsid w:val="00BE4528"/>
    <w:rsid w:val="00C76D8F"/>
    <w:rsid w:val="00C808B4"/>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870F-9B7C-43B3-A10D-2547897F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2016-04-15T13:13:00Z</dcterms:created>
  <dcterms:modified xsi:type="dcterms:W3CDTF">2016-04-15T13:13:00Z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