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dzserzd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desdf</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edzs</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dsc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dsezrd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edzdz</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dzserzd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desdf</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edzs</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dsc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dsezrd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edzdz</w:t>
                            </w:r>
                          </w:p>
                        </w:tc>
                      </w:tr>
                    </w:tbl>
                    <w:p w:rsidR="005D10B8" w:rsidRDefault="005D10B8"/>
                  </w:txbxContent>
                </v:textbox>
                <w10:wrap type="square" side="left" anchorx="margin" anchory="margin"/>
              </v:shape>
            </w:pict>
          </mc:Fallback>
        </mc:AlternateContent>
      </w:r>
      <w:r>
        <w:t>dsc</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edzs</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edzs</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desdf</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dzserzd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dsc</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edzs</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desdf</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dzserzd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dsc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edzs</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desdf</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dzserzd</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dsc</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edzs</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desdf</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dzserzd</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dsc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edzs</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desdf</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dzserzd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dsc</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edzs</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desdf</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dzserzd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dsc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