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B9CD" w14:textId="77777777" w:rsidR="003E4C4D" w:rsidRDefault="00000000" w:rsidP="00660E8A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21F7292" wp14:editId="5B7B160A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l="0" t="0" r="0" b="0"/>
                <wp:wrapNone/>
                <wp:docPr id="58" name="Grupo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407749703" name="Grupo 407749703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583604181" name="Rectángulo 583604181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713A0E" w14:textId="77777777" w:rsidR="003E4C4D" w:rsidRDefault="003E4C4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040671" name="Rectángulo 75040671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4BEBEA" w14:textId="77777777" w:rsidR="003E4C4D" w:rsidRDefault="003E4C4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4AA630D2" w14:textId="77777777" w:rsidR="003E4C4D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Guía3. Informe final Proyecto APT </w:t>
                                </w:r>
                              </w:p>
                              <w:p w14:paraId="64ABC6B2" w14:textId="77777777" w:rsidR="003E4C4D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971020555" name="Rectángulo 971020555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68911D" w14:textId="77777777" w:rsidR="003E4C4D" w:rsidRDefault="003E4C4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1F7292" id="Grupo 58" o:spid="_x0000_s1026" style="position:absolute;margin-left:-24.7pt;margin-top:3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">
                <v:group id="Grupo 407749703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">
                  <v:rect id="Rectángulo 583604181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0713A0E" w14:textId="77777777" w:rsidR="003E4C4D" w:rsidRDefault="003E4C4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75040671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" filled="f" stroked="f">
                    <v:textbox inset="2.53958mm,1.2694mm,2.53958mm,1.2694mm">
                      <w:txbxContent>
                        <w:p w14:paraId="1B4BEBEA" w14:textId="77777777" w:rsidR="003E4C4D" w:rsidRDefault="003E4C4D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AA630D2" w14:textId="77777777" w:rsidR="003E4C4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Guía3. Informe final Proyecto APT </w:t>
                          </w:r>
                        </w:p>
                        <w:p w14:paraId="64ABC6B2" w14:textId="77777777" w:rsidR="003E4C4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971020555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" fillcolor="#1f3864" stroked="f">
                    <v:textbox inset="2.53958mm,2.53958mm,2.53958mm,2.53958mm">
                      <w:txbxContent>
                        <w:p w14:paraId="7168911D" w14:textId="77777777" w:rsidR="003E4C4D" w:rsidRDefault="003E4C4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3320ADB0" w14:textId="77777777" w:rsidR="003E4C4D" w:rsidRDefault="003E4C4D" w:rsidP="00660E8A"/>
    <w:p w14:paraId="07B405F8" w14:textId="77777777" w:rsidR="003E4C4D" w:rsidRDefault="003E4C4D" w:rsidP="00660E8A"/>
    <w:p w14:paraId="2055A415" w14:textId="77777777" w:rsidR="003E4C4D" w:rsidRDefault="003E4C4D" w:rsidP="00660E8A"/>
    <w:p w14:paraId="10847AD2" w14:textId="77777777" w:rsidR="003E4C4D" w:rsidRDefault="003E4C4D" w:rsidP="00660E8A"/>
    <w:p w14:paraId="45687ED0" w14:textId="77777777" w:rsidR="003E4C4D" w:rsidRDefault="003E4C4D" w:rsidP="00660E8A">
      <w:pPr>
        <w:rPr>
          <w:b/>
          <w:bCs/>
          <w:color w:val="2F5496"/>
          <w:sz w:val="26"/>
          <w:szCs w:val="26"/>
        </w:rPr>
      </w:pPr>
    </w:p>
    <w:p w14:paraId="54D5D810" w14:textId="77777777" w:rsidR="003E4C4D" w:rsidRDefault="003E4C4D" w:rsidP="00660E8A">
      <w:pPr>
        <w:rPr>
          <w:b/>
          <w:bCs/>
          <w:color w:val="2F5496"/>
          <w:sz w:val="26"/>
          <w:szCs w:val="26"/>
        </w:rPr>
      </w:pPr>
    </w:p>
    <w:tbl>
      <w:tblPr>
        <w:tblStyle w:val="a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3E4C4D" w14:paraId="5A313344" w14:textId="77777777">
        <w:trPr>
          <w:trHeight w:val="440"/>
        </w:trPr>
        <w:tc>
          <w:tcPr>
            <w:tcW w:w="9781" w:type="dxa"/>
            <w:vAlign w:val="center"/>
          </w:tcPr>
          <w:p w14:paraId="2ACECA3C" w14:textId="77777777" w:rsidR="003E4C4D" w:rsidRDefault="00000000" w:rsidP="00660E8A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Informe final Proyecto APT</w:t>
            </w:r>
          </w:p>
        </w:tc>
      </w:tr>
      <w:tr w:rsidR="003E4C4D" w14:paraId="0917CDDD" w14:textId="77777777">
        <w:trPr>
          <w:trHeight w:val="800"/>
        </w:trPr>
        <w:tc>
          <w:tcPr>
            <w:tcW w:w="9781" w:type="dxa"/>
            <w:shd w:val="clear" w:color="auto" w:fill="D9E2F3"/>
            <w:vAlign w:val="center"/>
          </w:tcPr>
          <w:p w14:paraId="2C889EE2" w14:textId="77777777" w:rsidR="003E4C4D" w:rsidRDefault="003E4C4D" w:rsidP="00660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color w:val="1F3864"/>
              </w:rPr>
            </w:pPr>
          </w:p>
          <w:p w14:paraId="1043FC27" w14:textId="77777777" w:rsidR="003E4C4D" w:rsidRDefault="00000000" w:rsidP="00660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1B2D128D" w14:textId="77777777" w:rsidR="003E4C4D" w:rsidRDefault="003E4C4D" w:rsidP="00660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color w:val="1F3864"/>
              </w:rPr>
            </w:pPr>
          </w:p>
          <w:p w14:paraId="2B2D6F69" w14:textId="77777777" w:rsidR="003E4C4D" w:rsidRDefault="00000000" w:rsidP="00660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b/>
                <w:bCs/>
                <w:color w:val="1F3864"/>
              </w:rPr>
            </w:pPr>
            <w:r>
              <w:rPr>
                <w:color w:val="1F3864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71414C08" w14:textId="77777777" w:rsidR="003E4C4D" w:rsidRDefault="003E4C4D" w:rsidP="00660E8A">
      <w:pPr>
        <w:rPr>
          <w:b/>
          <w:bCs/>
        </w:rPr>
      </w:pPr>
    </w:p>
    <w:tbl>
      <w:tblPr>
        <w:tblStyle w:val="a0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159"/>
        <w:gridCol w:w="6622"/>
      </w:tblGrid>
      <w:tr w:rsidR="003E4C4D" w14:paraId="09A93CCE" w14:textId="77777777">
        <w:trPr>
          <w:trHeight w:val="440"/>
        </w:trPr>
        <w:tc>
          <w:tcPr>
            <w:tcW w:w="3159" w:type="dxa"/>
            <w:vAlign w:val="center"/>
          </w:tcPr>
          <w:p w14:paraId="710ECA4F" w14:textId="77777777" w:rsidR="003E4C4D" w:rsidRDefault="00000000" w:rsidP="00660E8A">
            <w:pPr>
              <w:rPr>
                <w:color w:val="1F3864"/>
              </w:rPr>
            </w:pPr>
            <w:r>
              <w:rPr>
                <w:color w:val="1F3864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5F743F32" w14:textId="514AF5E4" w:rsidR="003E4C4D" w:rsidRDefault="00660E8A" w:rsidP="00660E8A">
            <w:pPr>
              <w:spacing w:after="80"/>
              <w:rPr>
                <w:b/>
                <w:bCs/>
              </w:rPr>
            </w:pPr>
            <w:r>
              <w:rPr>
                <w:color w:val="000000"/>
                <w:sz w:val="20"/>
                <w:szCs w:val="20"/>
              </w:rPr>
              <w:t>Sentinel: Sistema de Prevención de Incidentes TI con Inteligencia Artificial</w:t>
            </w:r>
          </w:p>
        </w:tc>
      </w:tr>
      <w:tr w:rsidR="003E4C4D" w14:paraId="398EAF7D" w14:textId="77777777">
        <w:trPr>
          <w:trHeight w:val="418"/>
        </w:trPr>
        <w:tc>
          <w:tcPr>
            <w:tcW w:w="3159" w:type="dxa"/>
            <w:vAlign w:val="center"/>
          </w:tcPr>
          <w:p w14:paraId="3C8E63EF" w14:textId="77777777" w:rsidR="003E4C4D" w:rsidRDefault="00000000" w:rsidP="00660E8A">
            <w:pPr>
              <w:rPr>
                <w:color w:val="1F3864"/>
              </w:rPr>
            </w:pPr>
            <w:r>
              <w:rPr>
                <w:color w:val="1F3864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3D9C8B09" w14:textId="5EE9B945" w:rsidR="003E4C4D" w:rsidRDefault="00660E8A" w:rsidP="00660E8A">
            <w:pPr>
              <w:spacing w:after="80"/>
              <w:rPr>
                <w:b/>
                <w:bCs/>
              </w:rPr>
            </w:pPr>
            <w:r w:rsidRPr="00660E8A">
              <w:rPr>
                <w:color w:val="000000"/>
                <w:sz w:val="20"/>
                <w:szCs w:val="20"/>
              </w:rPr>
              <w:t>Ingeniería de software y desarrollo de soluciones informáticas; gestión y operación de infraestructura y servicios TI; análisis de datos e inteligencia artificial aplicada.</w:t>
            </w:r>
          </w:p>
        </w:tc>
      </w:tr>
      <w:tr w:rsidR="003E4C4D" w14:paraId="10FF89A5" w14:textId="77777777">
        <w:trPr>
          <w:trHeight w:val="425"/>
        </w:trPr>
        <w:tc>
          <w:tcPr>
            <w:tcW w:w="3159" w:type="dxa"/>
            <w:vAlign w:val="center"/>
          </w:tcPr>
          <w:p w14:paraId="31EF125F" w14:textId="77777777" w:rsidR="003E4C4D" w:rsidRDefault="00000000" w:rsidP="00660E8A">
            <w:pPr>
              <w:rPr>
                <w:color w:val="1F3864"/>
              </w:rPr>
            </w:pPr>
            <w:r>
              <w:rPr>
                <w:color w:val="1F3864"/>
              </w:rPr>
              <w:t xml:space="preserve">Competencias </w:t>
            </w:r>
          </w:p>
          <w:p w14:paraId="3BA096B0" w14:textId="77777777" w:rsidR="003E4C4D" w:rsidRDefault="003E4C4D" w:rsidP="00660E8A">
            <w:pPr>
              <w:rPr>
                <w:color w:val="1F3864"/>
              </w:rPr>
            </w:pPr>
          </w:p>
        </w:tc>
        <w:tc>
          <w:tcPr>
            <w:tcW w:w="6622" w:type="dxa"/>
            <w:vAlign w:val="center"/>
          </w:tcPr>
          <w:p w14:paraId="1AC19F0E" w14:textId="46797A2D" w:rsidR="003E4C4D" w:rsidRDefault="00660E8A" w:rsidP="00660E8A">
            <w:pPr>
              <w:spacing w:after="80"/>
              <w:rPr>
                <w:b/>
                <w:bCs/>
              </w:rPr>
            </w:pPr>
            <w:r w:rsidRPr="00660E8A">
              <w:rPr>
                <w:color w:val="000000"/>
                <w:sz w:val="20"/>
                <w:szCs w:val="20"/>
              </w:rPr>
              <w:t>Desarrollar soluciones informáticas; analizar y procesar datos para apoyar la toma de decisiones; diseñar e implementar servicios y componentes tecnológicos; aplicar buenas prácticas de seguridad, automatización y calidad en soluciones TI.</w:t>
            </w:r>
          </w:p>
        </w:tc>
      </w:tr>
    </w:tbl>
    <w:p w14:paraId="36504334" w14:textId="77777777" w:rsidR="003E4C4D" w:rsidRDefault="003E4C4D" w:rsidP="00660E8A">
      <w:pPr>
        <w:rPr>
          <w:b/>
          <w:bCs/>
        </w:rPr>
      </w:pPr>
    </w:p>
    <w:tbl>
      <w:tblPr>
        <w:tblStyle w:val="a1"/>
        <w:tblW w:w="10632" w:type="dxa"/>
        <w:tblInd w:w="-142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8505"/>
      </w:tblGrid>
      <w:tr w:rsidR="003E4C4D" w14:paraId="6276C964" w14:textId="77777777" w:rsidTr="00660E8A">
        <w:trPr>
          <w:trHeight w:val="388"/>
        </w:trPr>
        <w:tc>
          <w:tcPr>
            <w:tcW w:w="10632" w:type="dxa"/>
            <w:gridSpan w:val="2"/>
            <w:shd w:val="clear" w:color="auto" w:fill="D9D9D9"/>
            <w:vAlign w:val="center"/>
          </w:tcPr>
          <w:p w14:paraId="402EE793" w14:textId="77777777" w:rsidR="003E4C4D" w:rsidRDefault="00000000" w:rsidP="00660E8A">
            <w:pPr>
              <w:rPr>
                <w:b/>
                <w:bCs/>
              </w:rPr>
            </w:pPr>
            <w:r>
              <w:rPr>
                <w:b/>
                <w:bCs/>
                <w:color w:val="1F3864"/>
                <w:sz w:val="18"/>
                <w:szCs w:val="18"/>
              </w:rPr>
              <w:t>Contenidos del informe final</w:t>
            </w:r>
          </w:p>
        </w:tc>
      </w:tr>
      <w:tr w:rsidR="003E4C4D" w14:paraId="1112BF86" w14:textId="77777777" w:rsidTr="00660E8A">
        <w:trPr>
          <w:trHeight w:val="2266"/>
        </w:trPr>
        <w:tc>
          <w:tcPr>
            <w:tcW w:w="2127" w:type="dxa"/>
            <w:vAlign w:val="center"/>
          </w:tcPr>
          <w:p w14:paraId="0218FD1D" w14:textId="77777777" w:rsidR="003E4C4D" w:rsidRDefault="00000000" w:rsidP="00660E8A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1. Relevancia del proyecto APT</w:t>
            </w:r>
          </w:p>
        </w:tc>
        <w:tc>
          <w:tcPr>
            <w:tcW w:w="8505" w:type="dxa"/>
            <w:vAlign w:val="center"/>
          </w:tcPr>
          <w:p w14:paraId="2882CEF8" w14:textId="77777777" w:rsidR="00660E8A" w:rsidRPr="00660E8A" w:rsidRDefault="00660E8A" w:rsidP="00660E8A">
            <w:pPr>
              <w:spacing w:after="80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Problema y relevancia para la profesión.</w:t>
            </w:r>
          </w:p>
          <w:p w14:paraId="3D4AC0AF" w14:textId="77777777" w:rsidR="00660E8A" w:rsidRPr="00660E8A" w:rsidRDefault="00660E8A" w:rsidP="00660E8A">
            <w:pPr>
              <w:spacing w:after="80"/>
              <w:rPr>
                <w:color w:val="000000"/>
                <w:sz w:val="20"/>
                <w:szCs w:val="20"/>
              </w:rPr>
            </w:pPr>
            <w:r w:rsidRPr="00660E8A">
              <w:rPr>
                <w:color w:val="000000"/>
                <w:sz w:val="20"/>
                <w:szCs w:val="20"/>
              </w:rPr>
              <w:t xml:space="preserve">Los sistemas de monitoreo tradicionales permiten observar indicadores de infraestructura, pero no siempre entregan contexto suficiente para anticipar una degradación o decidir cómo responder. Sentinel aborda este problema mediante un MVP académico orientado al monitoreo de conexiones PostgreSQL, la recepción y persistencia de métricas y el desarrollo de capacidades analíticas y de recomendación. El valor profesional del proyecto está en integrar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APIs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 xml:space="preserve">, bases de datos,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observabilidad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>, pruebas y buenas prácticas de operación TI.</w:t>
            </w:r>
          </w:p>
          <w:p w14:paraId="77CEC313" w14:textId="77777777" w:rsidR="00660E8A" w:rsidRPr="00660E8A" w:rsidRDefault="00660E8A" w:rsidP="00660E8A">
            <w:pPr>
              <w:spacing w:after="80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Contexto donde se sitúa la situación.</w:t>
            </w:r>
          </w:p>
          <w:p w14:paraId="521EB75F" w14:textId="77777777" w:rsidR="00660E8A" w:rsidRPr="00660E8A" w:rsidRDefault="00660E8A" w:rsidP="00660E8A">
            <w:pPr>
              <w:spacing w:after="80"/>
              <w:rPr>
                <w:color w:val="000000"/>
                <w:sz w:val="20"/>
                <w:szCs w:val="20"/>
              </w:rPr>
            </w:pPr>
            <w:r w:rsidRPr="00660E8A">
              <w:rPr>
                <w:color w:val="000000"/>
                <w:sz w:val="20"/>
                <w:szCs w:val="20"/>
              </w:rPr>
              <w:t xml:space="preserve">El proyecto se desarrolla en la carrera de Ingeniería en Informática, sede Maipú, mediante un escenario controlado de degradación de servicios asociados a PostgreSQL. La solución utiliza un simulador de métricas,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FastAPI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>, PostgreSQL/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TimescaleDB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Grafana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 xml:space="preserve"> y contenedores Docker. La aplicación de escritorio con Tauri, un agente real y la ejecución automática de correcciones corresponden a proyecciones posteriores, no a entregables demostrados del MVP académico.</w:t>
            </w:r>
          </w:p>
          <w:p w14:paraId="7F6DA0EF" w14:textId="77777777" w:rsidR="00660E8A" w:rsidRPr="00660E8A" w:rsidRDefault="00660E8A" w:rsidP="00660E8A">
            <w:pPr>
              <w:spacing w:after="80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lastRenderedPageBreak/>
              <w:t>A quiénes afecta o impacta.</w:t>
            </w:r>
          </w:p>
          <w:p w14:paraId="2BC3E078" w14:textId="77777777" w:rsidR="00660E8A" w:rsidRPr="00660E8A" w:rsidRDefault="00660E8A" w:rsidP="00660E8A">
            <w:pPr>
              <w:spacing w:after="80"/>
              <w:rPr>
                <w:color w:val="000000"/>
                <w:sz w:val="20"/>
                <w:szCs w:val="20"/>
              </w:rPr>
            </w:pPr>
            <w:r w:rsidRPr="00660E8A">
              <w:rPr>
                <w:color w:val="000000"/>
                <w:sz w:val="20"/>
                <w:szCs w:val="20"/>
              </w:rPr>
              <w:t>El problema es relevante para administradores de bases de datos, profesionales DevOps/SRE, equipos de soporte e infraestructura y, de forma indirecta, usuarios de servicios digitales que dependen de la disponibilidad de sus bases de datos.</w:t>
            </w:r>
          </w:p>
          <w:p w14:paraId="148727F3" w14:textId="77777777" w:rsidR="00660E8A" w:rsidRPr="00660E8A" w:rsidRDefault="00660E8A" w:rsidP="00660E8A">
            <w:pPr>
              <w:spacing w:after="80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Aporte de valor y límites de la medición.</w:t>
            </w:r>
          </w:p>
          <w:p w14:paraId="624F2386" w14:textId="408C7934" w:rsidR="00660E8A" w:rsidRPr="00660E8A" w:rsidRDefault="00660E8A" w:rsidP="00660E8A">
            <w:pPr>
              <w:spacing w:after="80"/>
              <w:rPr>
                <w:color w:val="000000"/>
                <w:sz w:val="20"/>
                <w:szCs w:val="20"/>
              </w:rPr>
            </w:pPr>
            <w:r w:rsidRPr="00660E8A">
              <w:rPr>
                <w:color w:val="000000"/>
                <w:sz w:val="20"/>
                <w:szCs w:val="20"/>
              </w:rPr>
              <w:t>El entorno permite observar métricas y validar componentes de recepción, almacenamiento y recomendaciones con pruebas reproducibles. Se definieron como indicadores de valor el tiempo de anticipación, la precisión de detección, el tiempo de resolución y el ahorro estimado. No se dispone aún de mediciones verificadas de esos cuatro indicadores; por tanto, no se presentan porcentajes ni ahorros como resultados alcanzados.</w:t>
            </w:r>
          </w:p>
        </w:tc>
      </w:tr>
      <w:tr w:rsidR="003E4C4D" w14:paraId="6C519612" w14:textId="77777777" w:rsidTr="00660E8A">
        <w:trPr>
          <w:trHeight w:val="838"/>
        </w:trPr>
        <w:tc>
          <w:tcPr>
            <w:tcW w:w="2127" w:type="dxa"/>
            <w:vAlign w:val="center"/>
          </w:tcPr>
          <w:p w14:paraId="174A241D" w14:textId="77777777" w:rsidR="003E4C4D" w:rsidRDefault="00000000" w:rsidP="00660E8A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 xml:space="preserve">2. Objetivos </w:t>
            </w:r>
          </w:p>
        </w:tc>
        <w:tc>
          <w:tcPr>
            <w:tcW w:w="8505" w:type="dxa"/>
            <w:vAlign w:val="center"/>
          </w:tcPr>
          <w:p w14:paraId="57E24294" w14:textId="77777777" w:rsidR="00660E8A" w:rsidRPr="00660E8A" w:rsidRDefault="00660E8A" w:rsidP="00660E8A">
            <w:pPr>
              <w:spacing w:after="8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Objetivo general.</w:t>
            </w:r>
          </w:p>
          <w:p w14:paraId="1E20FF22" w14:textId="77777777" w:rsidR="00660E8A" w:rsidRPr="00660E8A" w:rsidRDefault="00660E8A" w:rsidP="00660E8A">
            <w:pPr>
              <w:spacing w:after="80" w:line="240" w:lineRule="auto"/>
              <w:rPr>
                <w:color w:val="000000"/>
                <w:sz w:val="20"/>
                <w:szCs w:val="20"/>
              </w:rPr>
            </w:pPr>
            <w:r w:rsidRPr="00660E8A">
              <w:rPr>
                <w:color w:val="000000"/>
                <w:sz w:val="20"/>
                <w:szCs w:val="20"/>
              </w:rPr>
              <w:t xml:space="preserve">Desarrollar y validar progresivamente un MVP académico de Sentinel para apoyar la prevención de incidentes TI mediante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observabilidad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 xml:space="preserve"> de PostgreSQL, análisis de métricas y recomendaciones correctivas, documentando tanto los resultados comprobados como los componentes pendientes de evaluación integral.</w:t>
            </w:r>
          </w:p>
          <w:p w14:paraId="72E88D3F" w14:textId="77777777" w:rsidR="00660E8A" w:rsidRPr="00660E8A" w:rsidRDefault="00660E8A" w:rsidP="00660E8A">
            <w:pPr>
              <w:spacing w:after="8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Objetivos específicos.</w:t>
            </w:r>
          </w:p>
          <w:p w14:paraId="5E7F982E" w14:textId="77777777" w:rsidR="00660E8A" w:rsidRPr="00660E8A" w:rsidRDefault="00660E8A" w:rsidP="00660E8A">
            <w:pPr>
              <w:spacing w:after="80" w:line="240" w:lineRule="auto"/>
              <w:rPr>
                <w:color w:val="000000"/>
                <w:sz w:val="20"/>
                <w:szCs w:val="20"/>
              </w:rPr>
            </w:pPr>
            <w:r w:rsidRPr="00660E8A">
              <w:rPr>
                <w:color w:val="000000"/>
                <w:sz w:val="20"/>
                <w:szCs w:val="20"/>
              </w:rPr>
              <w:t>1. Diseñar un simulador y un escenario reproducible de degradación de infraestructura.</w:t>
            </w:r>
            <w:r w:rsidRPr="00660E8A">
              <w:rPr>
                <w:color w:val="000000"/>
                <w:sz w:val="20"/>
                <w:szCs w:val="20"/>
              </w:rPr>
              <w:br/>
              <w:t xml:space="preserve">2. Implementar una API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FastAPI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 xml:space="preserve"> para recibir métricas y persistirlas en PostgreSQL/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TimescaleDB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>.</w:t>
            </w:r>
            <w:r w:rsidRPr="00660E8A">
              <w:rPr>
                <w:color w:val="000000"/>
                <w:sz w:val="20"/>
                <w:szCs w:val="20"/>
              </w:rPr>
              <w:br/>
              <w:t>3. Desarrollar componentes de detección de anomalías y predicción, y evaluar su desempeño cuando existan resultados cuantitativos verificables.</w:t>
            </w:r>
            <w:r w:rsidRPr="00660E8A">
              <w:rPr>
                <w:color w:val="000000"/>
                <w:sz w:val="20"/>
                <w:szCs w:val="20"/>
              </w:rPr>
              <w:br/>
              <w:t>4. Implementar reglas para generar recomendaciones correctivas y registrar sus estados.</w:t>
            </w:r>
            <w:r w:rsidRPr="00660E8A">
              <w:rPr>
                <w:color w:val="000000"/>
                <w:sz w:val="20"/>
                <w:szCs w:val="20"/>
              </w:rPr>
              <w:br/>
              <w:t xml:space="preserve">5. Visualizar métricas y el estado de PostgreSQL mediante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Grafana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>.</w:t>
            </w:r>
            <w:r w:rsidRPr="00660E8A">
              <w:rPr>
                <w:color w:val="000000"/>
                <w:sz w:val="20"/>
                <w:szCs w:val="20"/>
              </w:rPr>
              <w:br/>
              <w:t>6. Validar componentes mediante pruebas automatizadas y documentar las solicitudes de verificación posterior, diferenciándolas de una verificación de efectividad efectivamente realizada.</w:t>
            </w:r>
          </w:p>
          <w:p w14:paraId="5FFE04EF" w14:textId="77777777" w:rsidR="00660E8A" w:rsidRPr="00660E8A" w:rsidRDefault="00660E8A" w:rsidP="00660E8A">
            <w:pPr>
              <w:spacing w:after="8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Estado de cumplimiento.</w:t>
            </w:r>
          </w:p>
          <w:p w14:paraId="1398E9E4" w14:textId="2F103811" w:rsidR="003E4C4D" w:rsidRPr="00660E8A" w:rsidRDefault="00660E8A" w:rsidP="00660E8A">
            <w:pPr>
              <w:spacing w:after="80"/>
            </w:pPr>
            <w:r w:rsidRPr="00660E8A">
              <w:rPr>
                <w:color w:val="000000"/>
                <w:sz w:val="20"/>
                <w:szCs w:val="20"/>
              </w:rPr>
              <w:t>Se verificaron la recepción de métricas, la persistencia, el monitoreo normal de conexiones y las pruebas seleccionadas de ingestión, validación, modelos y lógica correctiva. La evaluación cuantitativa del modelo predictivo y la comprobación del efecto de una corrección sobre PostgreSQL permanecen sin evidencia suficiente para declararlas completadas.</w:t>
            </w:r>
          </w:p>
        </w:tc>
      </w:tr>
      <w:tr w:rsidR="003E4C4D" w14:paraId="16DB884B" w14:textId="77777777" w:rsidTr="00660E8A">
        <w:tc>
          <w:tcPr>
            <w:tcW w:w="2127" w:type="dxa"/>
            <w:vAlign w:val="center"/>
          </w:tcPr>
          <w:p w14:paraId="10F7289D" w14:textId="77777777" w:rsidR="003E4C4D" w:rsidRDefault="00000000" w:rsidP="00660E8A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3. Metodología</w:t>
            </w:r>
          </w:p>
        </w:tc>
        <w:tc>
          <w:tcPr>
            <w:tcW w:w="8505" w:type="dxa"/>
            <w:vAlign w:val="center"/>
          </w:tcPr>
          <w:p w14:paraId="46E0F192" w14:textId="77777777" w:rsidR="00660E8A" w:rsidRPr="00660E8A" w:rsidRDefault="00660E8A" w:rsidP="00660E8A">
            <w:pPr>
              <w:spacing w:after="8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Metodología utilizada.</w:t>
            </w:r>
          </w:p>
          <w:p w14:paraId="3EA05178" w14:textId="77777777" w:rsidR="00660E8A" w:rsidRPr="00660E8A" w:rsidRDefault="00660E8A" w:rsidP="00660E8A">
            <w:pPr>
              <w:spacing w:after="80" w:line="240" w:lineRule="auto"/>
              <w:rPr>
                <w:color w:val="000000"/>
                <w:sz w:val="20"/>
                <w:szCs w:val="20"/>
              </w:rPr>
            </w:pPr>
            <w:r w:rsidRPr="00660E8A">
              <w:rPr>
                <w:color w:val="000000"/>
                <w:sz w:val="20"/>
                <w:szCs w:val="20"/>
              </w:rPr>
              <w:t xml:space="preserve">Se trabajó mediante desarrollo incremental, con requisitos e historias de usuario, implementación modular, control de versiones, contenedores Docker y pruebas automatizadas con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Pytest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 xml:space="preserve">. La arquitectura separa el simulador, la API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FastAPI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 xml:space="preserve">, el almacenamiento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TimescaleDB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 xml:space="preserve">, el monitoreo de PostgreSQL y la visualización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Grafana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 xml:space="preserve">. El seguimiento se apoyó en Trello,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OpenSpec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 xml:space="preserve"> y el plan de trabajo de ocho actividades.</w:t>
            </w:r>
          </w:p>
          <w:p w14:paraId="276243DC" w14:textId="77777777" w:rsidR="00660E8A" w:rsidRPr="00660E8A" w:rsidRDefault="00660E8A" w:rsidP="00660E8A">
            <w:pPr>
              <w:spacing w:after="8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Estrategia de validación.</w:t>
            </w:r>
          </w:p>
          <w:p w14:paraId="7FD20B89" w14:textId="77777777" w:rsidR="00660E8A" w:rsidRPr="00660E8A" w:rsidRDefault="00660E8A" w:rsidP="00660E8A">
            <w:pPr>
              <w:spacing w:after="80" w:line="240" w:lineRule="auto"/>
              <w:rPr>
                <w:color w:val="000000"/>
                <w:sz w:val="20"/>
                <w:szCs w:val="20"/>
              </w:rPr>
            </w:pPr>
            <w:r w:rsidRPr="00660E8A">
              <w:rPr>
                <w:color w:val="000000"/>
                <w:sz w:val="20"/>
                <w:szCs w:val="20"/>
              </w:rPr>
              <w:t xml:space="preserve">Se comprobaron servicios de demostración, recepción de una muestra por la API, registros persistidos y un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dashboard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 xml:space="preserve"> de conexiones PostgreSQL. Para las pruebas con acceso a datos se utilizó una base </w:t>
            </w:r>
            <w:proofErr w:type="spellStart"/>
            <w:r w:rsidRPr="00660E8A">
              <w:rPr>
                <w:color w:val="000000"/>
                <w:sz w:val="20"/>
                <w:szCs w:val="20"/>
              </w:rPr>
              <w:t>TimescaleDB</w:t>
            </w:r>
            <w:proofErr w:type="spellEnd"/>
            <w:r w:rsidRPr="00660E8A">
              <w:rPr>
                <w:color w:val="000000"/>
                <w:sz w:val="20"/>
                <w:szCs w:val="20"/>
              </w:rPr>
              <w:t xml:space="preserve"> aislada, evitando interferir con la demostración. Se distinguieron las pruebas unitarias de la lógica correctiva de la validación integral de una corrección aplicada.</w:t>
            </w:r>
          </w:p>
          <w:p w14:paraId="381184F3" w14:textId="77777777" w:rsidR="00660E8A" w:rsidRPr="00660E8A" w:rsidRDefault="00660E8A" w:rsidP="00660E8A">
            <w:pPr>
              <w:spacing w:after="8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Alcance real del ciclo.</w:t>
            </w:r>
          </w:p>
          <w:p w14:paraId="53C0647A" w14:textId="6FD1BC4A" w:rsidR="003E4C4D" w:rsidRPr="00660E8A" w:rsidRDefault="00660E8A" w:rsidP="00660E8A">
            <w:pPr>
              <w:spacing w:after="80"/>
            </w:pPr>
            <w:r w:rsidRPr="00660E8A">
              <w:rPr>
                <w:color w:val="000000"/>
                <w:sz w:val="20"/>
                <w:szCs w:val="20"/>
              </w:rPr>
              <w:t>La secuencia detectar, analizar, predecir, recomendar, actuar y verificar describe el ciclo objetivo de Sentinel. En la evidencia disponible no se ha demostrado de extremo a extremo ese ciclo completo: HU-16 registra la aplicación declarada de una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660E8A">
              <w:rPr>
                <w:color w:val="000000"/>
                <w:sz w:val="20"/>
                <w:szCs w:val="20"/>
              </w:rPr>
              <w:t>recomendación y genera una solicitud de verificación, pero no ejecuta acciones ni calcula el resultado de dicha verificación.</w:t>
            </w:r>
          </w:p>
        </w:tc>
      </w:tr>
      <w:tr w:rsidR="003E4C4D" w14:paraId="4DB9C26C" w14:textId="77777777" w:rsidTr="00660E8A">
        <w:trPr>
          <w:trHeight w:val="2117"/>
        </w:trPr>
        <w:tc>
          <w:tcPr>
            <w:tcW w:w="2127" w:type="dxa"/>
            <w:vAlign w:val="center"/>
          </w:tcPr>
          <w:p w14:paraId="7F087544" w14:textId="77777777" w:rsidR="003E4C4D" w:rsidRDefault="00000000" w:rsidP="00660E8A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4. Desarrollo</w:t>
            </w:r>
          </w:p>
        </w:tc>
        <w:tc>
          <w:tcPr>
            <w:tcW w:w="8505" w:type="dxa"/>
            <w:vAlign w:val="center"/>
          </w:tcPr>
          <w:p w14:paraId="7D05731A" w14:textId="77777777" w:rsidR="00660E8A" w:rsidRDefault="00660E8A" w:rsidP="00660E8A">
            <w:pPr>
              <w:spacing w:before="120" w:after="40"/>
            </w:pPr>
            <w:r>
              <w:rPr>
                <w:b/>
                <w:sz w:val="18"/>
              </w:rPr>
              <w:t>Etapas o actividades del proyecto.</w:t>
            </w:r>
          </w:p>
          <w:p w14:paraId="551DA8E6" w14:textId="77777777" w:rsidR="00660E8A" w:rsidRDefault="00660E8A" w:rsidP="00660E8A">
            <w:pPr>
              <w:spacing w:after="80"/>
            </w:pPr>
            <w:r>
              <w:rPr>
                <w:sz w:val="18"/>
              </w:rPr>
              <w:t>1. Arquitectura y flujo de datos (S1; responsable planificado: Génesis Hernández): se definió la arquitectura modular y se prepararon diagramas.</w:t>
            </w:r>
            <w:r>
              <w:rPr>
                <w:sz w:val="18"/>
              </w:rPr>
              <w:br/>
              <w:t>2. Simulador de métricas (S2–S3; Benjamín Mella): se integró un simulador en el entorno Docker; su ejecución está respaldada por la demostración del sistema.</w:t>
            </w:r>
            <w:r>
              <w:rPr>
                <w:sz w:val="18"/>
              </w:rPr>
              <w:br/>
              <w:t xml:space="preserve">3. Modelo de datos y API (S4–S5; Bairon Raio): recepción HTTP 200 y </w:t>
            </w:r>
            <w:proofErr w:type="gramStart"/>
            <w:r>
              <w:rPr>
                <w:sz w:val="18"/>
              </w:rPr>
              <w:t>persistencia verificadas</w:t>
            </w:r>
            <w:proofErr w:type="gramEnd"/>
            <w:r>
              <w:rPr>
                <w:sz w:val="18"/>
              </w:rPr>
              <w:t xml:space="preserve"> en </w:t>
            </w:r>
            <w:proofErr w:type="spellStart"/>
            <w:r>
              <w:rPr>
                <w:sz w:val="18"/>
              </w:rPr>
              <w:t>TimescaleDB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>4. Modelo predictivo (S6–S8; Bairon Raio): existen componentes de análisis, pero falta incorporar resultados cuantitativos comprobados de predicción y evaluación.</w:t>
            </w:r>
            <w:r>
              <w:rPr>
                <w:sz w:val="18"/>
              </w:rPr>
              <w:br/>
              <w:t>5. Motor de recomendación (S9; Benjamín Mella): reglas correctivas y de estados verificadas mediante 113 pruebas automatizadas.</w:t>
            </w:r>
            <w:r>
              <w:rPr>
                <w:sz w:val="18"/>
              </w:rPr>
              <w:br/>
              <w:t xml:space="preserve">6. 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Grafana</w:t>
            </w:r>
            <w:proofErr w:type="spellEnd"/>
            <w:r>
              <w:rPr>
                <w:sz w:val="18"/>
              </w:rPr>
              <w:t xml:space="preserve"> (S10–S11; Benjamín Mella): visualización de conexiones PostgreSQL en condición normal comprobada.</w:t>
            </w:r>
            <w:r>
              <w:rPr>
                <w:sz w:val="18"/>
              </w:rPr>
              <w:br/>
              <w:t>7. Pruebas e integración (S12–S15; Génesis Hernández): 62 pruebas de ingestión, validación y modelos aprobadas, además de 113 pruebas de recomendaciones y estados. No equivalen a ejecutar la suite completa.</w:t>
            </w:r>
            <w:r>
              <w:rPr>
                <w:sz w:val="18"/>
              </w:rPr>
              <w:br/>
              <w:t>8. Documentación y métricas de valor (S16–S18; equipo): se recopilaron evidencias y anexos; las métricas cuantitativas de valor siguen pendientes de validación.</w:t>
            </w:r>
          </w:p>
          <w:p w14:paraId="6DE57484" w14:textId="77777777" w:rsidR="00660E8A" w:rsidRDefault="00660E8A" w:rsidP="00660E8A">
            <w:pPr>
              <w:spacing w:before="120" w:after="40"/>
            </w:pPr>
            <w:r>
              <w:rPr>
                <w:b/>
                <w:sz w:val="18"/>
              </w:rPr>
              <w:t>Cumplimiento de plazos.</w:t>
            </w:r>
          </w:p>
          <w:p w14:paraId="16B3DA8D" w14:textId="77777777" w:rsidR="00660E8A" w:rsidRDefault="00660E8A" w:rsidP="00660E8A">
            <w:pPr>
              <w:spacing w:after="80"/>
            </w:pPr>
            <w:r>
              <w:rPr>
                <w:sz w:val="18"/>
              </w:rPr>
              <w:t>Las semanas y responsables anteriores corresponden a la planificación original. Para confirmar cumplimiento o retrasos por actividad, el equipo debe contrastar las fechas reales de Trello y Git con la carta Gantt. No se asignan porcentajes de avance ni cumplimiento temporal sin ese contraste.</w:t>
            </w:r>
          </w:p>
          <w:p w14:paraId="0CD40A99" w14:textId="77777777" w:rsidR="00660E8A" w:rsidRDefault="00660E8A" w:rsidP="00660E8A">
            <w:pPr>
              <w:spacing w:before="120" w:after="40"/>
            </w:pPr>
            <w:r>
              <w:rPr>
                <w:b/>
                <w:sz w:val="18"/>
              </w:rPr>
              <w:t>Facilitadores.</w:t>
            </w:r>
          </w:p>
          <w:p w14:paraId="3DA74BFA" w14:textId="77777777" w:rsidR="00660E8A" w:rsidRDefault="00660E8A" w:rsidP="00660E8A">
            <w:pPr>
              <w:spacing w:after="80"/>
            </w:pPr>
            <w:r>
              <w:rPr>
                <w:sz w:val="18"/>
              </w:rPr>
              <w:t xml:space="preserve">La división del proyecto en componentes, la contenerización, las pruebas automatizadas, la base de pruebas aislada y el uso de </w:t>
            </w:r>
            <w:proofErr w:type="spellStart"/>
            <w:r>
              <w:rPr>
                <w:sz w:val="18"/>
              </w:rPr>
              <w:t>Grafana</w:t>
            </w:r>
            <w:proofErr w:type="spellEnd"/>
            <w:r>
              <w:rPr>
                <w:sz w:val="18"/>
              </w:rPr>
              <w:t xml:space="preserve"> facilitaron el diagnóstico y la reproducibilidad.</w:t>
            </w:r>
          </w:p>
          <w:p w14:paraId="561A78BB" w14:textId="77777777" w:rsidR="00660E8A" w:rsidRDefault="00660E8A" w:rsidP="00660E8A">
            <w:pPr>
              <w:spacing w:before="120" w:after="40"/>
            </w:pPr>
            <w:r>
              <w:rPr>
                <w:b/>
                <w:sz w:val="18"/>
              </w:rPr>
              <w:t>Dificultades reales.</w:t>
            </w:r>
          </w:p>
          <w:p w14:paraId="50967FA4" w14:textId="77777777" w:rsidR="00660E8A" w:rsidRDefault="00660E8A" w:rsidP="00660E8A">
            <w:pPr>
              <w:spacing w:after="80"/>
            </w:pPr>
            <w:r>
              <w:rPr>
                <w:sz w:val="18"/>
              </w:rPr>
              <w:t>En una ejecución inicial, 11 pruebas de ingestión devolvieron HTTP 503 porque el proceso de pruebas no tenía configurada la conexión a la base de datos. También fue necesario distinguir las pruebas que requieren infraestructura aislada de aquellas que pueden ejecutarse sin ella. La evaluación integral del modelo y de la verificación posterior aún requiere evidencia adicional.</w:t>
            </w:r>
          </w:p>
          <w:p w14:paraId="38AB8B06" w14:textId="77777777" w:rsidR="00660E8A" w:rsidRDefault="00660E8A" w:rsidP="00660E8A">
            <w:pPr>
              <w:spacing w:before="120" w:after="40"/>
            </w:pPr>
            <w:r>
              <w:rPr>
                <w:b/>
                <w:sz w:val="18"/>
              </w:rPr>
              <w:t>Ajustes realizados.</w:t>
            </w:r>
          </w:p>
          <w:p w14:paraId="41BEBF32" w14:textId="512F27C2" w:rsidR="003E4C4D" w:rsidRDefault="00660E8A" w:rsidP="00660E8A">
            <w:pPr>
              <w:spacing w:after="80"/>
            </w:pPr>
            <w:r>
              <w:rPr>
                <w:sz w:val="18"/>
              </w:rPr>
              <w:t xml:space="preserve">Se reutilizó una instancia </w:t>
            </w:r>
            <w:proofErr w:type="spellStart"/>
            <w:r>
              <w:rPr>
                <w:sz w:val="18"/>
              </w:rPr>
              <w:t>TimescaleDB</w:t>
            </w:r>
            <w:proofErr w:type="spellEnd"/>
            <w:r>
              <w:rPr>
                <w:sz w:val="18"/>
              </w:rPr>
              <w:t xml:space="preserve"> de pruebas aisladas, se comprobó su conexión desde Python y se configuró temporalmente la variable de conexión solo para el proceso </w:t>
            </w:r>
            <w:proofErr w:type="spellStart"/>
            <w:r>
              <w:rPr>
                <w:sz w:val="18"/>
              </w:rPr>
              <w:t>Pytest</w:t>
            </w:r>
            <w:proofErr w:type="spellEnd"/>
            <w:r>
              <w:rPr>
                <w:sz w:val="18"/>
              </w:rPr>
              <w:t>. Tras ello, las 62 pruebas seleccionadas aprobaron. Para mantener un alcance demostrable, se separaron las funciones comprobadas de las capacidades futuras; no se intervino la base de demostración ni se aplicaron acciones correctivas reales.</w:t>
            </w:r>
          </w:p>
        </w:tc>
      </w:tr>
      <w:tr w:rsidR="003E4C4D" w14:paraId="4077765B" w14:textId="77777777" w:rsidTr="00660E8A">
        <w:trPr>
          <w:trHeight w:val="1112"/>
        </w:trPr>
        <w:tc>
          <w:tcPr>
            <w:tcW w:w="2127" w:type="dxa"/>
            <w:vAlign w:val="center"/>
          </w:tcPr>
          <w:p w14:paraId="6A647A3B" w14:textId="77777777" w:rsidR="003E4C4D" w:rsidRDefault="00000000" w:rsidP="00660E8A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5. Evidencias</w:t>
            </w:r>
          </w:p>
        </w:tc>
        <w:tc>
          <w:tcPr>
            <w:tcW w:w="8505" w:type="dxa"/>
            <w:vAlign w:val="center"/>
          </w:tcPr>
          <w:p w14:paraId="7E9E24C2" w14:textId="77777777" w:rsidR="00660E8A" w:rsidRDefault="00660E8A" w:rsidP="00660E8A">
            <w:pPr>
              <w:spacing w:before="120" w:after="40"/>
            </w:pPr>
            <w:r>
              <w:rPr>
                <w:b/>
                <w:sz w:val="18"/>
              </w:rPr>
              <w:t>Evidencias que dan cuenta del desarrollo y los resultados.</w:t>
            </w:r>
          </w:p>
          <w:p w14:paraId="13F53405" w14:textId="77777777" w:rsidR="00660E8A" w:rsidRDefault="00660E8A" w:rsidP="00660E8A">
            <w:pPr>
              <w:spacing w:after="80"/>
            </w:pPr>
            <w:r>
              <w:rPr>
                <w:sz w:val="18"/>
              </w:rPr>
              <w:t>Los anexos del informe de avance 2.4 y los registros de pruebas constituyen el respaldo técnico disponible. Las capturas de los resultados comprobados se incorporan en los anexos B.1 a B.6 al final de este informe.</w:t>
            </w:r>
          </w:p>
          <w:p w14:paraId="40D9677A" w14:textId="77777777" w:rsidR="00660E8A" w:rsidRDefault="00660E8A" w:rsidP="00660E8A">
            <w:pPr>
              <w:spacing w:before="120" w:after="40"/>
            </w:pPr>
            <w:r>
              <w:rPr>
                <w:b/>
                <w:sz w:val="18"/>
              </w:rPr>
              <w:t>Infraestructura y recepción.</w:t>
            </w:r>
          </w:p>
          <w:p w14:paraId="6F638DFB" w14:textId="77777777" w:rsidR="00660E8A" w:rsidRDefault="00660E8A" w:rsidP="00660E8A">
            <w:pPr>
              <w:spacing w:after="80"/>
            </w:pPr>
            <w:r>
              <w:rPr>
                <w:sz w:val="18"/>
              </w:rPr>
              <w:t xml:space="preserve">Docker: cinco servicios de demostración en funcionamiento. API 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>: POST /api/v1/</w:t>
            </w:r>
            <w:proofErr w:type="spellStart"/>
            <w:r>
              <w:rPr>
                <w:sz w:val="18"/>
              </w:rPr>
              <w:t>metrics</w:t>
            </w:r>
            <w:proofErr w:type="spellEnd"/>
            <w:r>
              <w:rPr>
                <w:sz w:val="18"/>
              </w:rPr>
              <w:t xml:space="preserve"> con HTTP 200; una muestra recibida, validada y aceptada. </w:t>
            </w:r>
            <w:proofErr w:type="spellStart"/>
            <w:r>
              <w:rPr>
                <w:sz w:val="18"/>
              </w:rPr>
              <w:t>TimescaleDB</w:t>
            </w:r>
            <w:proofErr w:type="spellEnd"/>
            <w:r>
              <w:rPr>
                <w:sz w:val="18"/>
              </w:rPr>
              <w:t xml:space="preserve">: consulta de 5.541 registros de métricas persistidas, entre ellas </w:t>
            </w:r>
            <w:proofErr w:type="spellStart"/>
            <w:r>
              <w:rPr>
                <w:sz w:val="18"/>
              </w:rPr>
              <w:t>cpu_usage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ram_usage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requests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postgres_connections</w:t>
            </w:r>
            <w:proofErr w:type="spellEnd"/>
            <w:r>
              <w:rPr>
                <w:sz w:val="18"/>
              </w:rPr>
              <w:t>.</w:t>
            </w:r>
          </w:p>
          <w:p w14:paraId="594ACE24" w14:textId="77777777" w:rsidR="00660E8A" w:rsidRDefault="00660E8A" w:rsidP="00660E8A">
            <w:pPr>
              <w:spacing w:before="120" w:after="40"/>
            </w:pPr>
            <w:r>
              <w:rPr>
                <w:b/>
                <w:sz w:val="18"/>
              </w:rPr>
              <w:t>Visualización.</w:t>
            </w:r>
          </w:p>
          <w:p w14:paraId="25D333F0" w14:textId="77777777" w:rsidR="00660E8A" w:rsidRDefault="00660E8A" w:rsidP="00660E8A">
            <w:pPr>
              <w:spacing w:after="80"/>
            </w:pPr>
            <w:proofErr w:type="spellStart"/>
            <w:r>
              <w:rPr>
                <w:sz w:val="18"/>
              </w:rPr>
              <w:t>Grafana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dashboard</w:t>
            </w:r>
            <w:proofErr w:type="spellEnd"/>
            <w:r>
              <w:rPr>
                <w:sz w:val="18"/>
              </w:rPr>
              <w:t xml:space="preserve"> de conexiones PostgreSQL para el objetivo </w:t>
            </w:r>
            <w:proofErr w:type="spellStart"/>
            <w:r>
              <w:rPr>
                <w:sz w:val="18"/>
              </w:rPr>
              <w:t>primary</w:t>
            </w:r>
            <w:proofErr w:type="spellEnd"/>
            <w:r>
              <w:rPr>
                <w:sz w:val="18"/>
              </w:rPr>
              <w:t>, observado en estado normal. La captura no demuestra por sí misma una alerta ni una predicción de saturación.</w:t>
            </w:r>
          </w:p>
          <w:p w14:paraId="327C5781" w14:textId="77777777" w:rsidR="00660E8A" w:rsidRDefault="00660E8A" w:rsidP="00660E8A">
            <w:pPr>
              <w:spacing w:before="120" w:after="40"/>
            </w:pPr>
            <w:r>
              <w:rPr>
                <w:b/>
                <w:sz w:val="18"/>
              </w:rPr>
              <w:t>Pruebas automatizadas.</w:t>
            </w:r>
          </w:p>
          <w:p w14:paraId="6735B71E" w14:textId="77777777" w:rsidR="00660E8A" w:rsidRDefault="00660E8A" w:rsidP="00660E8A">
            <w:pPr>
              <w:spacing w:after="80"/>
            </w:pPr>
            <w:r>
              <w:rPr>
                <w:sz w:val="18"/>
              </w:rPr>
              <w:t xml:space="preserve">Ejecución 1: 62 pruebas aprobadas, 0 fallidas y 1 advertencia de deprecación (18,38 s), sobre ingestión, validación y modelos. Ejecución 2: 113 pruebas aprobadas, 0 fallidas (0,59 s), sobre recomendaciones correctivas y estados. </w:t>
            </w:r>
            <w:proofErr w:type="gramStart"/>
            <w:r>
              <w:rPr>
                <w:sz w:val="18"/>
              </w:rPr>
              <w:t>Total</w:t>
            </w:r>
            <w:proofErr w:type="gramEnd"/>
            <w:r>
              <w:rPr>
                <w:sz w:val="18"/>
              </w:rPr>
              <w:t xml:space="preserve"> de resultados aprobados entre ambas ejecuciones: 175; son conjuntos seleccionados y no toda la suite.</w:t>
            </w:r>
          </w:p>
          <w:p w14:paraId="12BEF023" w14:textId="77777777" w:rsidR="00660E8A" w:rsidRDefault="00660E8A" w:rsidP="00660E8A">
            <w:pPr>
              <w:spacing w:before="120" w:after="40"/>
            </w:pPr>
            <w:r>
              <w:rPr>
                <w:b/>
                <w:sz w:val="18"/>
              </w:rPr>
              <w:lastRenderedPageBreak/>
              <w:t>Recomendaciones y verificación posterior.</w:t>
            </w:r>
          </w:p>
          <w:p w14:paraId="420F3A51" w14:textId="77777777" w:rsidR="00660E8A" w:rsidRDefault="00660E8A" w:rsidP="00660E8A">
            <w:pPr>
              <w:spacing w:after="80"/>
            </w:pPr>
            <w:r>
              <w:rPr>
                <w:sz w:val="18"/>
              </w:rPr>
              <w:t xml:space="preserve">Las pruebas confirman reglas de generación de recomendaciones y de creación de solicitudes de verificación cuando una recomendación pasa normalmente a </w:t>
            </w:r>
            <w:proofErr w:type="spellStart"/>
            <w:r>
              <w:rPr>
                <w:sz w:val="18"/>
              </w:rPr>
              <w:t>applied</w:t>
            </w:r>
            <w:proofErr w:type="spellEnd"/>
            <w:r>
              <w:rPr>
                <w:sz w:val="18"/>
              </w:rPr>
              <w:t>. HU-16 no ejecuta la recomendación ni emite un veredicto de efectividad; por tanto, esta evidencia no demuestra una mejora posterior de PostgreSQL.</w:t>
            </w:r>
          </w:p>
          <w:p w14:paraId="5D3D19D4" w14:textId="77777777" w:rsidR="00660E8A" w:rsidRDefault="00660E8A" w:rsidP="00660E8A">
            <w:pPr>
              <w:spacing w:before="120" w:after="40"/>
            </w:pPr>
            <w:r>
              <w:rPr>
                <w:b/>
                <w:sz w:val="18"/>
              </w:rPr>
              <w:t>Evidencias pendientes.</w:t>
            </w:r>
          </w:p>
          <w:p w14:paraId="0C14C325" w14:textId="77777777" w:rsidR="00660E8A" w:rsidRDefault="00660E8A" w:rsidP="00660E8A">
            <w:pPr>
              <w:spacing w:after="80"/>
            </w:pPr>
            <w:r>
              <w:rPr>
                <w:sz w:val="18"/>
              </w:rPr>
              <w:t>Faltan resultados medidos y reproducibles de precisión, falsos positivos, tiempo de anticipación, tiempo de resolución y ahorro estimado; también una demostración integral de predicción y evaluación de efectividad. No se reemplazan estas mediciones por estimaciones no verificadas.</w:t>
            </w:r>
          </w:p>
          <w:p w14:paraId="138F0FDA" w14:textId="77777777" w:rsidR="00660E8A" w:rsidRDefault="00660E8A" w:rsidP="00660E8A">
            <w:pPr>
              <w:spacing w:before="120" w:after="40"/>
            </w:pPr>
            <w:r>
              <w:rPr>
                <w:b/>
                <w:sz w:val="18"/>
              </w:rPr>
              <w:t>Respaldo documental.</w:t>
            </w:r>
          </w:p>
          <w:p w14:paraId="3995BCC4" w14:textId="6168C03D" w:rsidR="003E4C4D" w:rsidRDefault="00660E8A" w:rsidP="00660E8A">
            <w:r>
              <w:rPr>
                <w:sz w:val="18"/>
              </w:rPr>
              <w:t>Documento de Alcance, informe de definición del proyecto (Guía 1.5), carta Gantt, tablero Trello, diagramas de arquitectura, repositorio de código y anexos técnicos A.1–A.13 del informe de desarrollo, según su numeración final.</w:t>
            </w:r>
          </w:p>
        </w:tc>
      </w:tr>
      <w:tr w:rsidR="003E4C4D" w14:paraId="3A6BD832" w14:textId="77777777" w:rsidTr="00660E8A">
        <w:trPr>
          <w:trHeight w:val="2547"/>
        </w:trPr>
        <w:tc>
          <w:tcPr>
            <w:tcW w:w="2127" w:type="dxa"/>
            <w:vAlign w:val="center"/>
          </w:tcPr>
          <w:p w14:paraId="42046204" w14:textId="77777777" w:rsidR="003E4C4D" w:rsidRDefault="00000000" w:rsidP="00660E8A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6. Intereses y proyecciones profesionales</w:t>
            </w:r>
          </w:p>
        </w:tc>
        <w:tc>
          <w:tcPr>
            <w:tcW w:w="8505" w:type="dxa"/>
            <w:vAlign w:val="center"/>
          </w:tcPr>
          <w:p w14:paraId="1DA94675" w14:textId="77777777" w:rsidR="00660E8A" w:rsidRPr="00660E8A" w:rsidRDefault="00660E8A" w:rsidP="00660E8A">
            <w:pPr>
              <w:spacing w:after="8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Reflexión sobre el aporte del proyecto a nuestros intereses profesionales.</w:t>
            </w:r>
          </w:p>
          <w:p w14:paraId="0200BD8A" w14:textId="77777777" w:rsidR="00660E8A" w:rsidRPr="00660E8A" w:rsidRDefault="00660E8A" w:rsidP="00660E8A">
            <w:pPr>
              <w:spacing w:after="8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 xml:space="preserve">Sentinel permitió relacionar competencias de Ingeniería en Informática con un caso concreto de </w:t>
            </w:r>
            <w:proofErr w:type="spellStart"/>
            <w:r w:rsidRPr="00660E8A">
              <w:rPr>
                <w:b/>
                <w:bCs/>
                <w:color w:val="000000"/>
                <w:sz w:val="20"/>
                <w:szCs w:val="20"/>
              </w:rPr>
              <w:t>observabilidad</w:t>
            </w:r>
            <w:proofErr w:type="spellEnd"/>
            <w:r w:rsidRPr="00660E8A">
              <w:rPr>
                <w:b/>
                <w:bCs/>
                <w:color w:val="000000"/>
                <w:sz w:val="20"/>
                <w:szCs w:val="20"/>
              </w:rPr>
              <w:t xml:space="preserve"> de infraestructura. El equipo trabajó con </w:t>
            </w:r>
            <w:proofErr w:type="spellStart"/>
            <w:r w:rsidRPr="00660E8A">
              <w:rPr>
                <w:b/>
                <w:bCs/>
                <w:color w:val="000000"/>
                <w:sz w:val="20"/>
                <w:szCs w:val="20"/>
              </w:rPr>
              <w:t>APIs</w:t>
            </w:r>
            <w:proofErr w:type="spellEnd"/>
            <w:r w:rsidRPr="00660E8A">
              <w:rPr>
                <w:b/>
                <w:bCs/>
                <w:color w:val="000000"/>
                <w:sz w:val="20"/>
                <w:szCs w:val="20"/>
              </w:rPr>
              <w:t>, modelado y consulta de datos, despliegue mediante contenedores, monitoreo y pruebas automatizadas. La experiencia mostró que implementar componentes no es lo mismo que acreditar su funcionamiento: para presentar resultados confiables fue necesario conservar evidencias, utilizar entornos aislados y describir las limitaciones con precisión.</w:t>
            </w:r>
          </w:p>
          <w:p w14:paraId="71741219" w14:textId="77777777" w:rsidR="00660E8A" w:rsidRPr="00660E8A" w:rsidRDefault="00660E8A" w:rsidP="00660E8A">
            <w:pPr>
              <w:spacing w:after="8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Aprendizajes y trabajo colaborativo.</w:t>
            </w:r>
          </w:p>
          <w:p w14:paraId="0CE7476B" w14:textId="77777777" w:rsidR="00660E8A" w:rsidRPr="00660E8A" w:rsidRDefault="00660E8A" w:rsidP="00660E8A">
            <w:pPr>
              <w:spacing w:after="8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El desarrollo incremental y el seguimiento de historias de usuario ayudaron a dividir una propuesta amplia en entregables comprobables. El incidente de configuración de la base de pruebas permitió reforzar prácticas de diagnóstico, separación de entornos y verificación antes de concluir que existe un defecto de aplicación. Las responsabilidades y plazos finales deben validarse con los registros del equipo.</w:t>
            </w:r>
          </w:p>
          <w:p w14:paraId="1FAB8181" w14:textId="77777777" w:rsidR="00660E8A" w:rsidRPr="00660E8A" w:rsidRDefault="00660E8A" w:rsidP="00660E8A">
            <w:pPr>
              <w:spacing w:after="8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>Proyecciones laborales.</w:t>
            </w:r>
          </w:p>
          <w:p w14:paraId="1BE4FA87" w14:textId="1193FD18" w:rsidR="003E4C4D" w:rsidRDefault="00660E8A" w:rsidP="00660E8A">
            <w:pPr>
              <w:spacing w:after="80"/>
            </w:pPr>
            <w:r w:rsidRPr="00660E8A">
              <w:rPr>
                <w:b/>
                <w:bCs/>
                <w:color w:val="000000"/>
                <w:sz w:val="20"/>
                <w:szCs w:val="20"/>
              </w:rPr>
              <w:t xml:space="preserve">El proyecto fortalece intereses en desarrollo de software, DevOps/Cloud, bases de datos, automatización y confiabilidad de servicios. Como continuidad se consideran la evaluación cuantitativa del modelo, la validación del ciclo completo, autenticación, un agente real, la aplicación de escritorio Tauri y despliegue </w:t>
            </w:r>
            <w:proofErr w:type="spellStart"/>
            <w:r w:rsidRPr="00660E8A">
              <w:rPr>
                <w:b/>
                <w:bCs/>
                <w:color w:val="000000"/>
                <w:sz w:val="20"/>
                <w:szCs w:val="20"/>
              </w:rPr>
              <w:t>cloud</w:t>
            </w:r>
            <w:proofErr w:type="spellEnd"/>
            <w:r w:rsidRPr="00660E8A">
              <w:rPr>
                <w:b/>
                <w:bCs/>
                <w:color w:val="000000"/>
                <w:sz w:val="20"/>
                <w:szCs w:val="20"/>
              </w:rPr>
              <w:t xml:space="preserve">; estas extensiones no se presentan como resultados ya </w:t>
            </w:r>
            <w:proofErr w:type="spellStart"/>
            <w:r w:rsidRPr="00660E8A">
              <w:rPr>
                <w:b/>
                <w:bCs/>
                <w:color w:val="000000"/>
                <w:sz w:val="20"/>
                <w:szCs w:val="20"/>
              </w:rPr>
              <w:t>entregados.</w:t>
            </w:r>
            <w:r w:rsidR="00000000">
              <w:rPr>
                <w:color w:val="000000"/>
                <w:sz w:val="20"/>
                <w:szCs w:val="20"/>
              </w:rPr>
              <w:t>Sentinel</w:t>
            </w:r>
            <w:proofErr w:type="spellEnd"/>
            <w:r w:rsidR="00000000">
              <w:rPr>
                <w:color w:val="000000"/>
                <w:sz w:val="20"/>
                <w:szCs w:val="20"/>
              </w:rPr>
              <w:t xml:space="preserve"> deja una base para las siguientes etapas: un agente real en Rust, una aplicación de escritorio con Tauri, autenticación, ejecución real de acciones correctivas y despliegue en </w:t>
            </w:r>
            <w:proofErr w:type="spellStart"/>
            <w:r w:rsidR="00000000">
              <w:rPr>
                <w:color w:val="000000"/>
                <w:sz w:val="20"/>
                <w:szCs w:val="20"/>
              </w:rPr>
              <w:t>cloud</w:t>
            </w:r>
            <w:proofErr w:type="spellEnd"/>
            <w:r w:rsidR="00000000">
              <w:rPr>
                <w:color w:val="000000"/>
                <w:sz w:val="20"/>
                <w:szCs w:val="20"/>
              </w:rPr>
              <w:t>, lo que permitiría explorar DevOps/Cloud y ciberseguridad.</w:t>
            </w:r>
          </w:p>
        </w:tc>
      </w:tr>
    </w:tbl>
    <w:p w14:paraId="5651D71F" w14:textId="77777777" w:rsidR="003E4C4D" w:rsidRDefault="003E4C4D" w:rsidP="00660E8A">
      <w:pPr>
        <w:rPr>
          <w:b/>
          <w:bCs/>
        </w:rPr>
      </w:pPr>
    </w:p>
    <w:p w14:paraId="1CB69BC0" w14:textId="77777777" w:rsidR="003E4C4D" w:rsidRDefault="003E4C4D" w:rsidP="00660E8A">
      <w:pPr>
        <w:spacing w:after="0" w:line="276" w:lineRule="auto"/>
        <w:ind w:left="-426" w:right="-568"/>
        <w:rPr>
          <w:color w:val="767171"/>
          <w:sz w:val="24"/>
          <w:szCs w:val="24"/>
        </w:rPr>
      </w:pPr>
    </w:p>
    <w:p w14:paraId="2481E646" w14:textId="77777777" w:rsidR="003E4C4D" w:rsidRDefault="003E4C4D" w:rsidP="00660E8A">
      <w:pPr>
        <w:spacing w:after="0" w:line="276" w:lineRule="auto"/>
        <w:ind w:left="-426" w:right="-568"/>
        <w:rPr>
          <w:color w:val="767171"/>
          <w:sz w:val="24"/>
          <w:szCs w:val="24"/>
        </w:rPr>
      </w:pPr>
    </w:p>
    <w:p w14:paraId="266BD6E2" w14:textId="77777777" w:rsidR="003E4C4D" w:rsidRDefault="003E4C4D" w:rsidP="00660E8A"/>
    <w:p>
      <w:r>
        <w:br w:type="page"/>
      </w:r>
    </w:p>
    <w:p>
      <w:pPr>
        <w:pStyle w:val="Ttulo1"/>
      </w:pPr>
      <w:r>
        <w:t>ANEXOS — EVIDENCIAS DEL PROYECTO SENTINEL</w:t>
      </w:r>
    </w:p>
    <w:p>
      <w:pPr/>
      <w:r>
        <w:t>Registro visual de resultados comprobados del MVP académico. Las evidencias corresponden a ejecuciones seleccionadas y no demuestran el ciclo completo de predicción, ejecución y verificación posterior.</w:t>
      </w:r>
    </w:p>
    <w:p>
      <w:pPr>
        <w:pStyle w:val="Ttulo2"/>
        <w:spacing w:before="240" w:after="140"/>
      </w:pPr>
      <w:r>
        <w:t>Anexo B.1. Infraestructura Docker en ejecución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00040" cy="801142"/>
            <wp:docPr id="971020556" name="Picture 971020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0 0019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t>Figura B.1. Captura de Docker Desktop: cinco contenedores del entorno sentinel-demo-integration en ejecución (PostgreSQL objetivo, backend, simulador, Grafana y TimescaleDB).</w:t>
      </w:r>
    </w:p>
    <w:p>
      <w:r>
        <w:br w:type="page"/>
      </w:r>
    </w:p>
    <w:p>
      <w:pPr>
        <w:pStyle w:val="Ttulo2"/>
        <w:spacing w:before="240" w:after="140"/>
      </w:pPr>
      <w:r>
        <w:t>Anexo B.2. Recepción de métricas mediante FastAPI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00040" cy="3416586"/>
            <wp:docPr id="971020557" name="Picture 971020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0 0025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t>Figura B.2. Respuesta HTTP 200 del endpoint POST /api/v1/metrics. Se observa una muestra recibida, validada y aceptada, sin rechazos.</w:t>
      </w:r>
    </w:p>
    <w:p>
      <w:pPr>
        <w:pStyle w:val="Ttulo2"/>
        <w:spacing w:before="240" w:after="140"/>
      </w:pPr>
      <w:r>
        <w:t>Anexo B.3. Persistencia de métricas en TimescaleDB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00040" cy="1803657"/>
            <wp:docPr id="971020558" name="Picture 971020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0 0026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t>Figura B.3. Consulta agrupada sobre metric_samples: 5.541 registros almacenados en total, incluidos cpu_usage, ram_usage, requests y postgres_connections.</w:t>
      </w:r>
    </w:p>
    <w:p>
      <w:r>
        <w:br w:type="page"/>
      </w:r>
    </w:p>
    <w:p>
      <w:pPr>
        <w:pStyle w:val="Ttulo2"/>
        <w:spacing w:before="240" w:after="140"/>
      </w:pPr>
      <w:r>
        <w:t>Anexo B.4. Visualización de conexiones PostgreSQL en Grafana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00040" cy="3090632"/>
            <wp:docPr id="971020559" name="Picture 971020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0 0028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t>Figura B.4. Dashboard Sentinel HU-08 PostgreSQL Connections, objetivo primary. Se observa monitoreo en condición normal; la captura no acredita una predicción de saturación.</w:t>
      </w:r>
    </w:p>
    <w:p>
      <w:r>
        <w:br w:type="page"/>
      </w:r>
    </w:p>
    <w:p>
      <w:pPr>
        <w:pStyle w:val="Ttulo2"/>
        <w:spacing w:before="240" w:after="140"/>
      </w:pPr>
      <w:r>
        <w:t>Anexo B.5. Pruebas automatizadas de ingesta y validación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00040" cy="801058"/>
            <wp:docPr id="971020560" name="Picture 971020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0 00375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t>Figura B.5. Ejecución seleccionada de Pytest sobre ingestión, validación y modelos: 62 pruebas aprobadas y una advertencia de deprecación, usando una base aislada.</w:t>
      </w:r>
    </w:p>
    <w:p>
      <w:pPr>
        <w:pStyle w:val="Ttulo2"/>
        <w:spacing w:before="240" w:after="140"/>
      </w:pPr>
      <w:r>
        <w:t>Anexo B.6. Pruebas de recomendaciones y reglas de verificación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00040" cy="222506"/>
            <wp:docPr id="971020561" name="Picture 971020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0 0041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t>Figura B.6. Ejecución de Pytest para recomendaciones correctivas y estados: 113 pruebas aprobadas. Valida reglas y solicitudes de verificación, no una corrección aplicada a PostgreSQL.</w:t>
      </w:r>
    </w:p>
    <w:sectPr w:rsidR="003E4C4D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2666F" w14:textId="77777777" w:rsidR="001E058E" w:rsidRDefault="001E058E">
      <w:pPr>
        <w:spacing w:after="0" w:line="240" w:lineRule="auto"/>
      </w:pPr>
      <w:r>
        <w:separator/>
      </w:r>
    </w:p>
  </w:endnote>
  <w:endnote w:type="continuationSeparator" w:id="0">
    <w:p w14:paraId="46EFA8AF" w14:textId="77777777" w:rsidR="001E058E" w:rsidRDefault="001E0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46BACA-5A30-4A06-9D35-A660431BA358}"/>
    <w:embedBold r:id="rId2" w:fontKey="{65249C26-C47C-4239-90B4-5E032C2F2C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2DF5776C-EB30-44A8-A325-77138F5B9154}"/>
  </w:font>
  <w:font w:name="Segoe UI">
    <w:panose1 w:val="020B0502040204020203"/>
    <w:charset w:val="00"/>
    <w:family w:val="roman"/>
    <w:notTrueType/>
    <w:pitch w:val="default"/>
    <w:embedRegular r:id="rId4" w:fontKey="{2F44FB1D-4B06-4B6F-B41C-4AE7EC4CF09D}"/>
  </w:font>
  <w:font w:name="Georgia">
    <w:panose1 w:val="02040502050405020303"/>
    <w:charset w:val="00"/>
    <w:family w:val="auto"/>
    <w:pitch w:val="default"/>
    <w:embedItalic r:id="rId5" w:fontKey="{35D6EC0D-2459-4787-91D5-9AE56E0D7D1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A4D58444-9776-4EFD-9A54-458F8DFD73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CD3C7" w14:textId="77777777" w:rsidR="001E058E" w:rsidRDefault="001E058E">
      <w:pPr>
        <w:spacing w:after="0" w:line="240" w:lineRule="auto"/>
      </w:pPr>
      <w:r>
        <w:separator/>
      </w:r>
    </w:p>
  </w:footnote>
  <w:footnote w:type="continuationSeparator" w:id="0">
    <w:p w14:paraId="58C43FB1" w14:textId="77777777" w:rsidR="001E058E" w:rsidRDefault="001E0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4FAB1" w14:textId="77777777" w:rsidR="003E4C4D" w:rsidRDefault="003E4C4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3E4C4D" w14:paraId="5325B03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7620675" w14:textId="77777777" w:rsidR="003E4C4D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– Informe Final Proyecto APT </w:t>
          </w:r>
        </w:p>
        <w:p w14:paraId="769E8C25" w14:textId="77777777" w:rsidR="003E4C4D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7358E2" w14:textId="77777777" w:rsidR="003E4C4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50646ED" wp14:editId="6CDBDEBE">
                <wp:extent cx="1996440" cy="428625"/>
                <wp:effectExtent l="0" t="0" r="0" b="0"/>
                <wp:docPr id="5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7E701B4" w14:textId="77777777" w:rsidR="003E4C4D" w:rsidRDefault="003E4C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C4D"/>
    <w:rsid w:val="001E058E"/>
    <w:rsid w:val="003E4C4D"/>
    <w:rsid w:val="00660E8A"/>
    <w:rsid w:val="006E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100C7"/>
  <w15:docId w15:val="{A9E3C067-A73E-4DB5-A45D-DF205465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Z4bMwa+Us+gRQGdhhp87Z5Ng3A==">CgMxLjA4AHIhMV9TeGZXSEpMS1hJN1pMWEQtclowd3RGRTRVYnA4UUtO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1823</Words>
  <Characters>10029</Characters>
  <Application>Microsoft Office Word</Application>
  <DocSecurity>0</DocSecurity>
  <Lines>83</Lines>
  <Paragraphs>23</Paragraphs>
  <ScaleCrop>false</ScaleCrop>
  <Company/>
  <LinksUpToDate>false</LinksUpToDate>
  <CharactersWithSpaces>11829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BENJAMIN IGNACIO MELLA MIRANDA</cp:lastModifiedBy>
  <cp:revision>2</cp:revision>
  <dcterms:created xsi:type="dcterms:W3CDTF">2022-08-24T18:22:00Z</dcterms:created>
  <dcterms:modified xsi:type="dcterms:W3CDTF">2026-10-20T03:55:00Z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