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04FDD" w14:textId="77777777" w:rsidR="007602E7" w:rsidRPr="007602E7" w:rsidRDefault="007602E7" w:rsidP="007602E7">
      <w:pPr>
        <w:rPr>
          <w:rFonts w:ascii="Garamond" w:hAnsi="Garamond"/>
          <w:b/>
          <w:bCs/>
        </w:rPr>
      </w:pPr>
    </w:p>
    <w:p w14:paraId="7E64C8CB" w14:textId="77777777" w:rsidR="007602E7" w:rsidRPr="007602E7" w:rsidRDefault="007602E7" w:rsidP="007602E7">
      <w:pPr>
        <w:rPr>
          <w:rFonts w:ascii="Garamond" w:hAnsi="Garamond"/>
          <w:b/>
          <w:bCs/>
        </w:rPr>
      </w:pPr>
    </w:p>
    <w:p w14:paraId="7B780928" w14:textId="77777777" w:rsidR="007602E7" w:rsidRPr="007602E7" w:rsidRDefault="007602E7" w:rsidP="007602E7">
      <w:pPr>
        <w:jc w:val="center"/>
        <w:rPr>
          <w:rFonts w:ascii="Garamond" w:hAnsi="Garamond"/>
          <w:b/>
          <w:bCs/>
        </w:rPr>
      </w:pPr>
    </w:p>
    <w:p w14:paraId="470435A6" w14:textId="77777777" w:rsidR="007602E7" w:rsidRPr="007602E7" w:rsidRDefault="007602E7" w:rsidP="007602E7">
      <w:pPr>
        <w:jc w:val="center"/>
        <w:rPr>
          <w:rFonts w:ascii="Garamond" w:hAnsi="Garamond"/>
          <w:b/>
          <w:bCs/>
        </w:rPr>
      </w:pPr>
      <w:r w:rsidRPr="007602E7">
        <w:rPr>
          <w:rFonts w:ascii="Garamond" w:hAnsi="Garamond"/>
          <w:b/>
          <w:bCs/>
        </w:rPr>
        <w:t>Benjamin Parenteau and Asiah Taylor</w:t>
      </w:r>
    </w:p>
    <w:p w14:paraId="078AED5C" w14:textId="77777777" w:rsidR="007602E7" w:rsidRPr="007602E7" w:rsidRDefault="007602E7" w:rsidP="007602E7">
      <w:pPr>
        <w:jc w:val="center"/>
        <w:rPr>
          <w:rFonts w:ascii="Garamond" w:hAnsi="Garamond"/>
          <w:b/>
          <w:bCs/>
        </w:rPr>
      </w:pPr>
      <w:r w:rsidRPr="007602E7">
        <w:rPr>
          <w:rFonts w:ascii="Garamond" w:hAnsi="Garamond"/>
          <w:b/>
          <w:bCs/>
        </w:rPr>
        <w:t>2/25/2026</w:t>
      </w:r>
    </w:p>
    <w:p w14:paraId="77C0A3E8" w14:textId="77777777" w:rsidR="007602E7" w:rsidRPr="007602E7" w:rsidRDefault="007602E7" w:rsidP="007602E7">
      <w:pPr>
        <w:jc w:val="center"/>
        <w:rPr>
          <w:rFonts w:ascii="Garamond" w:hAnsi="Garamond"/>
          <w:b/>
          <w:bCs/>
        </w:rPr>
      </w:pPr>
      <w:r w:rsidRPr="007602E7">
        <w:rPr>
          <w:rFonts w:ascii="Garamond" w:hAnsi="Garamond"/>
          <w:b/>
          <w:bCs/>
        </w:rPr>
        <w:t>CST-315</w:t>
      </w:r>
    </w:p>
    <w:p w14:paraId="345CF20B" w14:textId="77777777" w:rsidR="007602E7" w:rsidRPr="007602E7" w:rsidRDefault="007602E7" w:rsidP="007602E7">
      <w:pPr>
        <w:jc w:val="center"/>
        <w:rPr>
          <w:rFonts w:ascii="Garamond" w:hAnsi="Garamond"/>
          <w:b/>
          <w:bCs/>
        </w:rPr>
      </w:pPr>
      <w:r w:rsidRPr="007602E7">
        <w:rPr>
          <w:rFonts w:ascii="Garamond" w:hAnsi="Garamond"/>
          <w:b/>
          <w:bCs/>
        </w:rPr>
        <w:t>Professor Ricardo Citro</w:t>
      </w:r>
    </w:p>
    <w:p w14:paraId="5F5F4EE1" w14:textId="5B10D565" w:rsidR="007602E7" w:rsidRPr="007602E7" w:rsidRDefault="007602E7" w:rsidP="007602E7">
      <w:pPr>
        <w:jc w:val="center"/>
        <w:rPr>
          <w:rFonts w:ascii="Garamond" w:hAnsi="Garamond"/>
          <w:b/>
          <w:bCs/>
        </w:rPr>
      </w:pPr>
      <w:r w:rsidRPr="007602E7">
        <w:rPr>
          <w:rFonts w:ascii="Garamond" w:hAnsi="Garamond"/>
          <w:b/>
          <w:bCs/>
        </w:rPr>
        <w:t>Assignment 2</w:t>
      </w:r>
      <w:r w:rsidR="00641002" w:rsidRPr="007602E7">
        <w:rPr>
          <w:rFonts w:ascii="Garamond" w:hAnsi="Garamond"/>
          <w:b/>
          <w:bCs/>
        </w:rPr>
        <w:t>: Monitors</w:t>
      </w:r>
      <w:r w:rsidRPr="007602E7">
        <w:rPr>
          <w:rFonts w:ascii="Garamond" w:hAnsi="Garamond"/>
          <w:b/>
          <w:bCs/>
        </w:rPr>
        <w:t xml:space="preserve"> and Semaphores</w:t>
      </w:r>
    </w:p>
    <w:p w14:paraId="6661F55D" w14:textId="77777777" w:rsidR="007602E7" w:rsidRPr="007602E7" w:rsidRDefault="007602E7" w:rsidP="007602E7">
      <w:pPr>
        <w:jc w:val="center"/>
        <w:rPr>
          <w:rFonts w:ascii="Garamond" w:hAnsi="Garamond"/>
          <w:b/>
          <w:bCs/>
        </w:rPr>
      </w:pPr>
    </w:p>
    <w:p w14:paraId="570ED2A4" w14:textId="77777777" w:rsidR="007602E7" w:rsidRPr="007602E7" w:rsidRDefault="007602E7" w:rsidP="007602E7">
      <w:pPr>
        <w:jc w:val="center"/>
        <w:rPr>
          <w:rFonts w:ascii="Garamond" w:hAnsi="Garamond"/>
          <w:b/>
          <w:bCs/>
        </w:rPr>
      </w:pPr>
    </w:p>
    <w:p w14:paraId="6EB3BFF5" w14:textId="7CC62C54" w:rsidR="007602E7" w:rsidRPr="007602E7" w:rsidRDefault="007602E7" w:rsidP="007602E7">
      <w:pPr>
        <w:jc w:val="center"/>
        <w:rPr>
          <w:rFonts w:ascii="Garamond" w:hAnsi="Garamond"/>
          <w:b/>
          <w:bCs/>
        </w:rPr>
      </w:pPr>
      <w:r w:rsidRPr="007602E7">
        <w:rPr>
          <w:rFonts w:ascii="Garamond" w:hAnsi="Garamond"/>
          <w:b/>
          <w:bCs/>
        </w:rPr>
        <w:t xml:space="preserve">Link to </w:t>
      </w:r>
      <w:r w:rsidRPr="007602E7">
        <w:rPr>
          <w:rFonts w:ascii="Garamond" w:hAnsi="Garamond"/>
          <w:b/>
          <w:bCs/>
        </w:rPr>
        <w:t>GitHub</w:t>
      </w:r>
    </w:p>
    <w:p w14:paraId="7A89B66B" w14:textId="532980E4" w:rsidR="007602E7" w:rsidRPr="007602E7" w:rsidRDefault="007602E7" w:rsidP="007602E7">
      <w:pPr>
        <w:jc w:val="center"/>
        <w:rPr>
          <w:rFonts w:ascii="Garamond" w:hAnsi="Garamond"/>
          <w:b/>
          <w:bCs/>
        </w:rPr>
      </w:pPr>
      <w:r w:rsidRPr="007602E7">
        <w:rPr>
          <w:rFonts w:ascii="Garamond" w:hAnsi="Garamond"/>
          <w:b/>
          <w:bCs/>
        </w:rPr>
        <w:t>https://github.com/BenjaminParenteau/CST-315/tree/main/Assignment2</w:t>
      </w:r>
      <w:r w:rsidRPr="007602E7">
        <w:rPr>
          <w:rFonts w:ascii="Garamond" w:hAnsi="Garamond"/>
          <w:b/>
          <w:bCs/>
        </w:rPr>
        <w:br w:type="page"/>
      </w:r>
    </w:p>
    <w:p w14:paraId="13360D3F" w14:textId="0933E13B" w:rsidR="00486DFA" w:rsidRDefault="00486DFA" w:rsidP="00486DFA">
      <w:pPr>
        <w:rPr>
          <w:rFonts w:ascii="Garamond" w:hAnsi="Garamond"/>
          <w:b/>
          <w:bCs/>
        </w:rPr>
      </w:pPr>
    </w:p>
    <w:p w14:paraId="6BDD4693" w14:textId="77777777" w:rsidR="00486DFA" w:rsidRDefault="00486DFA" w:rsidP="00486DFA">
      <w:pPr>
        <w:rPr>
          <w:rFonts w:ascii="Garamond" w:hAnsi="Garamond"/>
          <w:b/>
          <w:bCs/>
        </w:rPr>
      </w:pPr>
    </w:p>
    <w:p w14:paraId="183F0F50" w14:textId="1BA6DF9D" w:rsidR="00486DFA" w:rsidRPr="00486DFA" w:rsidRDefault="00000000" w:rsidP="00486DFA">
      <w:pPr>
        <w:rPr>
          <w:rFonts w:ascii="Garamond" w:hAnsi="Garamond"/>
          <w:b/>
          <w:bCs/>
        </w:rPr>
      </w:pPr>
      <w:r w:rsidRPr="00486DFA">
        <w:rPr>
          <w:rFonts w:ascii="Garamond" w:hAnsi="Garamond"/>
          <w:b/>
          <w:bCs/>
        </w:rPr>
        <w:t>Assignment 2 - Monitors and Semaphores</w:t>
      </w:r>
    </w:p>
    <w:p w14:paraId="463B25A3" w14:textId="7928AD1E" w:rsidR="00486DFA" w:rsidRPr="00486DFA" w:rsidRDefault="00486DFA" w:rsidP="00486DFA">
      <w:pPr>
        <w:rPr>
          <w:rFonts w:ascii="Garamond" w:hAnsi="Garamond"/>
        </w:rPr>
      </w:pPr>
      <w:r w:rsidRPr="00486DFA">
        <w:rPr>
          <w:rFonts w:ascii="Garamond" w:hAnsi="Garamond"/>
          <w:b/>
          <w:bCs/>
        </w:rPr>
        <w:t>Scenario + need:</w:t>
      </w:r>
      <w:r w:rsidRPr="00486DFA">
        <w:rPr>
          <w:rFonts w:ascii="Garamond" w:hAnsi="Garamond"/>
        </w:rPr>
        <w:t xml:space="preserve"> In this scenario, multiple producer threads generate items while multiple consumer threads remove items from a shared resource. The shared resource consists of two counters representing how many items have been produced and consumed. Because all threads access and modify the same shared counters, race conditions can occur if two threads update the same value simultaneously. Without synchronization, this could lead to lost updates, incorrect totals, or consumers attempting to consume items that were never produced. A synchronization mechanism is required to ensure mutual exclusion when accessing shared data and to coordinate thread execution so that producers and consumers operate safely and correctly.</w:t>
      </w:r>
    </w:p>
    <w:p w14:paraId="661FB32E" w14:textId="77777777" w:rsidR="00486DFA" w:rsidRPr="00486DFA" w:rsidRDefault="00486DFA" w:rsidP="00486DFA">
      <w:pPr>
        <w:rPr>
          <w:rFonts w:ascii="Garamond" w:hAnsi="Garamond"/>
        </w:rPr>
      </w:pPr>
    </w:p>
    <w:p w14:paraId="12BB34D5" w14:textId="51872E19" w:rsidR="00486DFA" w:rsidRPr="00486DFA" w:rsidRDefault="00486DFA" w:rsidP="00486DFA">
      <w:pPr>
        <w:rPr>
          <w:rFonts w:ascii="Garamond" w:hAnsi="Garamond"/>
        </w:rPr>
      </w:pPr>
      <w:r w:rsidRPr="00486DFA">
        <w:rPr>
          <w:rFonts w:ascii="Garamond" w:hAnsi="Garamond"/>
          <w:b/>
          <w:bCs/>
        </w:rPr>
        <w:t>Pros/cons in this scenario:</w:t>
      </w:r>
      <w:r w:rsidRPr="00486DFA">
        <w:rPr>
          <w:rFonts w:ascii="Garamond" w:hAnsi="Garamond"/>
        </w:rPr>
        <w:t xml:space="preserve"> Semaphores provide explicit counting control over shared resources. In this scenario, one semaphore can represent available buffer </w:t>
      </w:r>
      <w:proofErr w:type="gramStart"/>
      <w:r w:rsidRPr="00486DFA">
        <w:rPr>
          <w:rFonts w:ascii="Garamond" w:hAnsi="Garamond"/>
        </w:rPr>
        <w:t>space</w:t>
      </w:r>
      <w:proofErr w:type="gramEnd"/>
      <w:r w:rsidRPr="00486DFA">
        <w:rPr>
          <w:rFonts w:ascii="Garamond" w:hAnsi="Garamond"/>
        </w:rPr>
        <w:t xml:space="preserve"> and another can represent produced items. This makes semaphores efficient and compact for managing resource availability. However, semaphores can be error-prone because an incorrect order of wait and post operations may cause deadlock or inconsistent counts.</w:t>
      </w:r>
    </w:p>
    <w:p w14:paraId="082F82FA" w14:textId="32E68B9F" w:rsidR="00486DFA" w:rsidRDefault="00486DFA" w:rsidP="00486DFA">
      <w:pPr>
        <w:rPr>
          <w:rFonts w:ascii="Garamond" w:hAnsi="Garamond"/>
        </w:rPr>
      </w:pPr>
      <w:r w:rsidRPr="00486DFA">
        <w:rPr>
          <w:rFonts w:ascii="Garamond" w:hAnsi="Garamond"/>
        </w:rPr>
        <w:t>Monitors, implemented using a mutex and condition variables, provide a higher-level synchronization structure. In this scenario, the mutex ensures that only one thread modifies shared counters at a time, while condition variables allow threads to wait for specific conditions such as “buffer not empty” or “buffer not full.” Monitors are often easier to understand and maintain because the synchronization logic closely matches the program state. However, incorrect condition signaling or missing while checks can still cause logical errors.</w:t>
      </w:r>
    </w:p>
    <w:p w14:paraId="20E98EE0" w14:textId="77777777" w:rsidR="00486DFA" w:rsidRPr="00486DFA" w:rsidRDefault="00486DFA" w:rsidP="00486DFA">
      <w:pPr>
        <w:rPr>
          <w:rFonts w:ascii="Garamond" w:hAnsi="Garamond"/>
        </w:rPr>
      </w:pPr>
    </w:p>
    <w:p w14:paraId="3D67849F" w14:textId="77777777" w:rsidR="00486DFA" w:rsidRPr="00486DFA" w:rsidRDefault="00486DFA" w:rsidP="00486DFA">
      <w:pPr>
        <w:rPr>
          <w:rFonts w:ascii="Garamond" w:hAnsi="Garamond"/>
        </w:rPr>
      </w:pPr>
      <w:r w:rsidRPr="00486DFA">
        <w:rPr>
          <w:rFonts w:ascii="Garamond" w:hAnsi="Garamond"/>
          <w:b/>
          <w:bCs/>
        </w:rPr>
        <w:t>Recommendation:</w:t>
      </w:r>
      <w:r w:rsidRPr="00486DFA">
        <w:rPr>
          <w:rFonts w:ascii="Garamond" w:hAnsi="Garamond"/>
        </w:rPr>
        <w:t xml:space="preserve"> For this thread-based producer-consumer scenario, monitors are recommended. Because the synchronization requirements are directly tied to the state of shared counters, using a mutex and condition variables makes the logic clearer and easier to verify. The monitor approach reduces the risk of incorrect semaphore counting and improves readability for maintenance and debugging. While semaphores are efficient and valid, monitors provide stronger conceptual alignment with the shared-state conditions in this </w:t>
      </w:r>
      <w:r w:rsidRPr="00486DFA">
        <w:rPr>
          <w:rFonts w:ascii="Garamond" w:hAnsi="Garamond"/>
        </w:rPr>
        <w:t>program</w:t>
      </w:r>
      <w:r w:rsidRPr="00486DFA">
        <w:rPr>
          <w:rFonts w:ascii="Garamond" w:hAnsi="Garamond"/>
        </w:rPr>
        <w:t>.</w:t>
      </w:r>
      <w:r>
        <w:rPr>
          <w:rFonts w:ascii="Garamond" w:hAnsi="Garamond"/>
        </w:rPr>
        <w:br/>
      </w:r>
      <w:r>
        <w:rPr>
          <w:rFonts w:ascii="Garamond" w:hAnsi="Garamond"/>
        </w:rPr>
        <w:br/>
      </w:r>
      <w:r w:rsidRPr="00486DFA">
        <w:rPr>
          <w:rFonts w:ascii="Garamond" w:hAnsi="Garamond"/>
          <w:b/>
          <w:bCs/>
        </w:rPr>
        <w:t>Testing and Validation:</w:t>
      </w:r>
      <w:r>
        <w:rPr>
          <w:rFonts w:ascii="Garamond" w:hAnsi="Garamond"/>
        </w:rPr>
        <w:t xml:space="preserve"> </w:t>
      </w:r>
      <w:r w:rsidRPr="00486DFA">
        <w:rPr>
          <w:rFonts w:ascii="Garamond" w:hAnsi="Garamond"/>
        </w:rPr>
        <w:t>Both the semaphore and monitor implementations were compiled and tested on a Linux system using GCC with the -</w:t>
      </w:r>
      <w:proofErr w:type="spellStart"/>
      <w:r w:rsidRPr="00486DFA">
        <w:rPr>
          <w:rFonts w:ascii="Garamond" w:hAnsi="Garamond"/>
        </w:rPr>
        <w:t>pthread</w:t>
      </w:r>
      <w:proofErr w:type="spellEnd"/>
      <w:r w:rsidRPr="00486DFA">
        <w:rPr>
          <w:rFonts w:ascii="Garamond" w:hAnsi="Garamond"/>
        </w:rPr>
        <w:t xml:space="preserve"> flag enabled. The programs compiled successfully without errors and were executed using multiple producer and consumer thread configurations, including balanced (2 producers, 2 consumers), producer-heavy (5 producers, 1 consumer), and consumer-heavy (1 producer, 5 consumers) scenarios. In each case, the programs terminated normally and displayed the number of items produced and consumed by each thread. The final totals consistently matched the expected buffer size value of 1000, confirming that no items were lost or duplicated during execution.</w:t>
      </w:r>
    </w:p>
    <w:p w14:paraId="4757929D" w14:textId="77777777" w:rsidR="00486DFA" w:rsidRPr="00486DFA" w:rsidRDefault="00486DFA" w:rsidP="00486DFA">
      <w:pPr>
        <w:rPr>
          <w:rFonts w:ascii="Garamond" w:hAnsi="Garamond"/>
        </w:rPr>
      </w:pPr>
      <w:r w:rsidRPr="00486DFA">
        <w:rPr>
          <w:rFonts w:ascii="Garamond" w:hAnsi="Garamond"/>
        </w:rPr>
        <w:lastRenderedPageBreak/>
        <w:t>To validate synchronization correctness, the programs were executed multiple times with increased thread counts to create higher contention for shared resources. During testing, no deadlocks, race conditions, or abnormal terminations were observed. Producers did not exceed the buffer limit, and consumers did not consume items that had not been produced. The consistent matching of produced and consumed totals across all test cases demonstrates that mutual exclusion and coordination mechanisms function correctly in both the semaphore and monitor implementations.</w:t>
      </w:r>
    </w:p>
    <w:p w14:paraId="6096E7E9" w14:textId="05A07C7C" w:rsidR="00C50D2C" w:rsidRPr="00486DFA" w:rsidRDefault="00C50D2C" w:rsidP="00486DFA">
      <w:pPr>
        <w:rPr>
          <w:rFonts w:ascii="Garamond" w:hAnsi="Garamond"/>
        </w:rPr>
      </w:pPr>
    </w:p>
    <w:sectPr w:rsidR="00C50D2C" w:rsidRPr="00486D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443910">
    <w:abstractNumId w:val="8"/>
  </w:num>
  <w:num w:numId="2" w16cid:durableId="747649302">
    <w:abstractNumId w:val="6"/>
  </w:num>
  <w:num w:numId="3" w16cid:durableId="452019125">
    <w:abstractNumId w:val="5"/>
  </w:num>
  <w:num w:numId="4" w16cid:durableId="1792897339">
    <w:abstractNumId w:val="4"/>
  </w:num>
  <w:num w:numId="5" w16cid:durableId="1454902068">
    <w:abstractNumId w:val="7"/>
  </w:num>
  <w:num w:numId="6" w16cid:durableId="1244610638">
    <w:abstractNumId w:val="3"/>
  </w:num>
  <w:num w:numId="7" w16cid:durableId="2019768932">
    <w:abstractNumId w:val="2"/>
  </w:num>
  <w:num w:numId="8" w16cid:durableId="323898995">
    <w:abstractNumId w:val="1"/>
  </w:num>
  <w:num w:numId="9" w16cid:durableId="148380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410"/>
    <w:rsid w:val="00326F90"/>
    <w:rsid w:val="00486DFA"/>
    <w:rsid w:val="00641002"/>
    <w:rsid w:val="007602E7"/>
    <w:rsid w:val="00AA1D8D"/>
    <w:rsid w:val="00B47730"/>
    <w:rsid w:val="00C50D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A7A8A"/>
  <w14:defaultImageDpi w14:val="300"/>
  <w15:docId w15:val="{04C6FF3F-A8F8-42EF-85DF-7E0BE50E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86D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Parenteau</cp:lastModifiedBy>
  <cp:revision>4</cp:revision>
  <dcterms:created xsi:type="dcterms:W3CDTF">2013-12-23T23:15:00Z</dcterms:created>
  <dcterms:modified xsi:type="dcterms:W3CDTF">2026-02-25T06:49:00Z</dcterms:modified>
  <cp:category/>
</cp:coreProperties>
</file>