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Income Transfer Workflow for OpenDental</w:t>
      </w:r>
    </w:p>
    <w:p>
      <w:pPr>
        <w:pStyle w:val="Heading2"/>
      </w:pPr>
      <w:r>
        <w:t>Standard Operating Procedure</w:t>
      </w:r>
    </w:p>
    <w:p>
      <w:r>
        <w:t>This document outlines the proper workflow for identifying, executing, and verifying income transfers in OpenDental. Proper adherence to this procedure will reduce unassigned provider transactions and improve financial reporting accuracy.</w:t>
      </w:r>
    </w:p>
    <w:p>
      <w:pPr>
        <w:pStyle w:val="Heading2"/>
      </w:pPr>
      <w:r>
        <w:t>1. Identifying When Income Transfers Are Needed</w:t>
      </w:r>
    </w:p>
    <w:p>
      <w:pPr>
        <w:pStyle w:val="Heading3"/>
      </w:pPr>
      <w:r>
        <w:t>Scenarios Requiring Income Transfer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Scenario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Priority</w:t>
            </w:r>
          </w:p>
        </w:tc>
      </w:tr>
      <w:tr>
        <w:tc>
          <w:tcPr>
            <w:tcW w:type="dxa" w:w="2880"/>
          </w:tcPr>
          <w:p>
            <w:r>
              <w:t>Initial Misallocation</w:t>
            </w:r>
          </w:p>
        </w:tc>
        <w:tc>
          <w:tcPr>
            <w:tcW w:type="dxa" w:w="2880"/>
          </w:tcPr>
          <w:p>
            <w:r>
              <w:t>Payment was assigned to incorrect provider at time of entry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Unassigned Payment</w:t>
            </w:r>
          </w:p>
        </w:tc>
        <w:tc>
          <w:tcPr>
            <w:tcW w:type="dxa" w:w="2880"/>
          </w:tcPr>
          <w:p>
            <w:r>
              <w:t>Payment was entered without a provider assignment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Prepayment Allocation</w:t>
            </w:r>
          </w:p>
        </w:tc>
        <w:tc>
          <w:tcPr>
            <w:tcW w:type="dxa" w:w="2880"/>
          </w:tcPr>
          <w:p>
            <w:r>
              <w:t>Prepayment needs to be allocated to provider who performed work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Provider Transfer</w:t>
            </w:r>
          </w:p>
        </w:tc>
        <w:tc>
          <w:tcPr>
            <w:tcW w:type="dxa" w:w="2880"/>
          </w:tcPr>
          <w:p>
            <w:r>
              <w:t>Patient transferred between providers during treatment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Treatment Plan Change</w:t>
            </w:r>
          </w:p>
        </w:tc>
        <w:tc>
          <w:tcPr>
            <w:tcW w:type="dxa" w:w="2880"/>
          </w:tcPr>
          <w:p>
            <w:r>
              <w:t>Original provider differs from provider who performed service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Provider Left Practice</w:t>
            </w:r>
          </w:p>
        </w:tc>
        <w:tc>
          <w:tcPr>
            <w:tcW w:type="dxa" w:w="2880"/>
          </w:tcPr>
          <w:p>
            <w:r>
              <w:t>Redistributing payments from departing provider</w:t>
            </w:r>
          </w:p>
        </w:tc>
        <w:tc>
          <w:tcPr>
            <w:tcW w:type="dxa" w:w="2880"/>
          </w:tcPr>
          <w:p>
            <w:r>
              <w:t>Low</w:t>
            </w:r>
          </w:p>
        </w:tc>
      </w:tr>
    </w:tbl>
    <w:p>
      <w:pPr>
        <w:pStyle w:val="Heading3"/>
      </w:pPr>
      <w:r>
        <w:t>Key Indicators</w:t>
      </w:r>
    </w:p>
    <w:p>
      <w:pPr>
        <w:pStyle w:val="ListBullet"/>
      </w:pPr>
      <w:r>
        <w:t>Provider production report shows discrepancies</w:t>
      </w:r>
    </w:p>
    <w:p>
      <w:pPr>
        <w:pStyle w:val="ListBullet"/>
      </w:pPr>
      <w:r>
        <w:t>Unassigned provider appears in transaction reports</w:t>
      </w:r>
    </w:p>
    <w:p>
      <w:pPr>
        <w:pStyle w:val="ListBullet"/>
      </w:pPr>
      <w:r>
        <w:t>Payment split report shows provider ≠ procedure provider</w:t>
      </w:r>
    </w:p>
    <w:p>
      <w:pPr>
        <w:pStyle w:val="ListBullet"/>
      </w:pPr>
      <w:r>
        <w:t>Prepayment remains unapplied after procedure completion</w:t>
      </w:r>
    </w:p>
    <w:p>
      <w:pPr>
        <w:pStyle w:val="ListBullet"/>
      </w:pPr>
      <w:r>
        <w:t>Patient balance shows credit with unassigned provider</w:t>
      </w:r>
    </w:p>
    <w:p>
      <w:pPr>
        <w:pStyle w:val="Heading2"/>
      </w:pPr>
      <w:r>
        <w:t>2. Required Information Before Transfer</w:t>
      </w:r>
    </w:p>
    <w:p>
      <w:pPr>
        <w:pStyle w:val="ListBullet"/>
      </w:pPr>
      <w:r>
        <w:t>Patient name and ID</w:t>
      </w:r>
    </w:p>
    <w:p>
      <w:pPr>
        <w:pStyle w:val="ListBullet"/>
      </w:pPr>
      <w:r>
        <w:t>Original payment date and amount</w:t>
      </w:r>
    </w:p>
    <w:p>
      <w:pPr>
        <w:pStyle w:val="ListBullet"/>
      </w:pPr>
      <w:r>
        <w:t>Current provider assignment (source)</w:t>
      </w:r>
    </w:p>
    <w:p>
      <w:pPr>
        <w:pStyle w:val="ListBullet"/>
      </w:pPr>
      <w:r>
        <w:t>Correct provider assignment (destination)</w:t>
      </w:r>
    </w:p>
    <w:p>
      <w:pPr>
        <w:pStyle w:val="ListBullet"/>
      </w:pPr>
      <w:r>
        <w:t>Relevant procedure codes</w:t>
      </w:r>
    </w:p>
    <w:p>
      <w:pPr>
        <w:pStyle w:val="ListBullet"/>
      </w:pPr>
      <w:r>
        <w:t>Reason for transfer</w:t>
      </w:r>
    </w:p>
    <w:p>
      <w:pPr>
        <w:pStyle w:val="ListBullet"/>
      </w:pPr>
      <w:r>
        <w:t>Authorization (if required by amount threshold)</w:t>
      </w:r>
    </w:p>
    <w:p>
      <w:pPr>
        <w:pStyle w:val="Heading2"/>
      </w:pPr>
      <w:r>
        <w:t>3. Income Transfer Process Steps</w:t>
      </w:r>
    </w:p>
    <w:p>
      <w:pPr>
        <w:pStyle w:val="IntenseQuote"/>
      </w:pPr>
      <w:r>
        <w:t>Note: This section will be enhanced with specific OpenDental UI screenshots and detailed step-by-step instructions once provided.</w:t>
      </w:r>
    </w:p>
    <w:p>
      <w:pPr>
        <w:pStyle w:val="Heading3"/>
      </w:pPr>
      <w:r>
        <w:t>A. Accessing the Income Transfer Function</w:t>
      </w:r>
    </w:p>
    <w:p>
      <w:pPr>
        <w:pStyle w:val="ListNumber"/>
      </w:pPr>
      <w:r>
        <w:t>Log into OpenDental with appropriate user credentials</w:t>
      </w:r>
    </w:p>
    <w:p>
      <w:pPr>
        <w:pStyle w:val="ListNumber"/>
      </w:pPr>
      <w:r>
        <w:t>Navigate to [Specific Path in OpenDental]</w:t>
      </w:r>
    </w:p>
    <w:p>
      <w:pPr>
        <w:pStyle w:val="ListNumber"/>
      </w:pPr>
      <w:r>
        <w:t>Select the patient account requiring income transfer</w:t>
      </w:r>
    </w:p>
    <w:p>
      <w:pPr>
        <w:pStyle w:val="ListNumber"/>
      </w:pPr>
      <w:r>
        <w:t>Verify patient information and account status</w:t>
      </w:r>
    </w:p>
    <w:p>
      <w:pPr>
        <w:pStyle w:val="Heading3"/>
      </w:pPr>
      <w:r>
        <w:t>B. Executing the Transfer</w:t>
      </w:r>
    </w:p>
    <w:p>
      <w:pPr>
        <w:pStyle w:val="ListNumber"/>
      </w:pPr>
      <w:r>
        <w:t>Locate the specific payment requiring transfer</w:t>
      </w:r>
    </w:p>
    <w:p>
      <w:pPr>
        <w:pStyle w:val="ListNumber"/>
      </w:pPr>
      <w:r>
        <w:t>Select the income transfer function</w:t>
      </w:r>
    </w:p>
    <w:p>
      <w:pPr>
        <w:pStyle w:val="ListNumber"/>
      </w:pPr>
      <w:r>
        <w:t>Document the source provider (current assignment)</w:t>
      </w:r>
    </w:p>
    <w:p>
      <w:pPr>
        <w:pStyle w:val="ListNumber"/>
      </w:pPr>
      <w:r>
        <w:t>Select the destination provider (correct assignment)</w:t>
      </w:r>
    </w:p>
    <w:p>
      <w:pPr>
        <w:pStyle w:val="ListNumber"/>
      </w:pPr>
      <w:r>
        <w:t>Verify the transfer amount</w:t>
      </w:r>
    </w:p>
    <w:p>
      <w:pPr>
        <w:pStyle w:val="ListNumber"/>
      </w:pPr>
      <w:r>
        <w:t>Enter a standardized note (see format below)</w:t>
      </w:r>
    </w:p>
    <w:p>
      <w:pPr>
        <w:pStyle w:val="ListNumber"/>
      </w:pPr>
      <w:r>
        <w:t>Complete the transfer</w:t>
      </w:r>
    </w:p>
    <w:p>
      <w:pPr>
        <w:pStyle w:val="Heading3"/>
      </w:pPr>
      <w:r>
        <w:t>C. Standardized Note Format</w:t>
      </w:r>
    </w:p>
    <w:p>
      <w:r>
        <w:t>All income transfer notes must follow this format:</w:t>
      </w:r>
    </w:p>
    <w:p>
      <w:pPr>
        <w:pStyle w:val="IntenseQuote"/>
      </w:pPr>
      <w:r>
        <w:t>```</w:t>
        <w:br/>
        <w:t>Income Transfer: FROM [source provider] TO [destination provider] - [reason code] - [your initials]</w:t>
        <w:br/>
        <w:t>```</w:t>
      </w:r>
    </w:p>
    <w:p>
      <w:r>
        <w:t>Example:</w:t>
      </w:r>
    </w:p>
    <w:p>
      <w:pPr>
        <w:pStyle w:val="IntenseQuote"/>
      </w:pPr>
      <w:r>
        <w:t>```</w:t>
        <w:br/>
        <w:t>Income Transfer: FROM Unassigned TO Dr. Smith - PREPAY ALLOCATION - SW</w:t>
        <w:br/>
        <w:t>```</w:t>
      </w:r>
    </w:p>
    <w:p>
      <w:r>
        <w:t>Reason Codes:</w:t>
      </w:r>
    </w:p>
    <w:p>
      <w:pPr>
        <w:pStyle w:val="ListBullet"/>
      </w:pPr>
      <w:r>
        <w:t>INITIAL ERROR: Payment was initially assigned incorrectly</w:t>
      </w:r>
    </w:p>
    <w:p>
      <w:pPr>
        <w:pStyle w:val="ListBullet"/>
      </w:pPr>
      <w:r>
        <w:t>PREPAY ALLOCATION: Allocating prepayment to treating provider</w:t>
      </w:r>
    </w:p>
    <w:p>
      <w:pPr>
        <w:pStyle w:val="ListBullet"/>
      </w:pPr>
      <w:r>
        <w:t>PROV CHANGE: Provider changed during treatment</w:t>
      </w:r>
    </w:p>
    <w:p>
      <w:pPr>
        <w:pStyle w:val="ListBullet"/>
      </w:pPr>
      <w:r>
        <w:t>TX PLAN MOD: Treatment plan was modified</w:t>
      </w:r>
    </w:p>
    <w:p>
      <w:pPr>
        <w:pStyle w:val="ListBullet"/>
      </w:pPr>
      <w:r>
        <w:t>OTHER: Other reason (requires additional explanation)</w:t>
      </w:r>
    </w:p>
    <w:p>
      <w:pPr>
        <w:pStyle w:val="Heading2"/>
      </w:pPr>
      <w:r>
        <w:t>4. Verification Process</w:t>
      </w:r>
    </w:p>
    <w:p>
      <w:pPr>
        <w:pStyle w:val="Heading3"/>
      </w:pPr>
      <w:r>
        <w:t>Immediate Verification</w:t>
      </w:r>
    </w:p>
    <w:p>
      <w:pPr>
        <w:pStyle w:val="ListNumber"/>
      </w:pPr>
      <w:r>
        <w:t>Refresh the patient account</w:t>
      </w:r>
    </w:p>
    <w:p>
      <w:pPr>
        <w:pStyle w:val="ListNumber"/>
      </w:pPr>
      <w:r>
        <w:t>Verify the payment now shows the correct provider</w:t>
      </w:r>
    </w:p>
    <w:p>
      <w:pPr>
        <w:pStyle w:val="ListNumber"/>
      </w:pPr>
      <w:r>
        <w:t>Confirm the transfer note appears correctly</w:t>
      </w:r>
    </w:p>
    <w:p>
      <w:pPr>
        <w:pStyle w:val="ListNumber"/>
      </w:pPr>
      <w:r>
        <w:t>Check that patient balance remains unchanged</w:t>
      </w:r>
    </w:p>
    <w:p>
      <w:pPr>
        <w:pStyle w:val="Heading3"/>
      </w:pPr>
      <w:r>
        <w:t>Post-Transfer Verification</w:t>
      </w:r>
    </w:p>
    <w:p>
      <w:pPr>
        <w:pStyle w:val="ListNumber"/>
      </w:pPr>
      <w:r>
        <w:t>Run the daily split allocation report</w:t>
      </w:r>
    </w:p>
    <w:p>
      <w:pPr>
        <w:pStyle w:val="ListNumber"/>
      </w:pPr>
      <w:r>
        <w:t>Verify provider production reports reflect the transfer</w:t>
      </w:r>
    </w:p>
    <w:p>
      <w:pPr>
        <w:pStyle w:val="ListNumber"/>
      </w:pPr>
      <w:r>
        <w:t>Check for any unintended consequences (e.g., other allocations affected)</w:t>
      </w:r>
    </w:p>
    <w:p>
      <w:pPr>
        <w:pStyle w:val="Heading2"/>
      </w:pPr>
      <w:r>
        <w:t>5. Common Issues and Troubleshooting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Issue</w:t>
            </w:r>
          </w:p>
        </w:tc>
        <w:tc>
          <w:tcPr>
            <w:tcW w:type="dxa" w:w="2880"/>
          </w:tcPr>
          <w:p>
            <w:r>
              <w:t>Potential Cause</w:t>
            </w:r>
          </w:p>
        </w:tc>
        <w:tc>
          <w:tcPr>
            <w:tcW w:type="dxa" w:w="2880"/>
          </w:tcPr>
          <w:p>
            <w:r>
              <w:t>Solution</w:t>
            </w:r>
          </w:p>
        </w:tc>
      </w:tr>
      <w:tr>
        <w:tc>
          <w:tcPr>
            <w:tcW w:type="dxa" w:w="2880"/>
          </w:tcPr>
          <w:p>
            <w:r>
              <w:t>Transfer not showing in reports</w:t>
            </w:r>
          </w:p>
        </w:tc>
        <w:tc>
          <w:tcPr>
            <w:tcW w:type="dxa" w:w="2880"/>
          </w:tcPr>
          <w:p>
            <w:r>
              <w:t>Report parameters incorrect</w:t>
            </w:r>
          </w:p>
        </w:tc>
        <w:tc>
          <w:tcPr>
            <w:tcW w:type="dxa" w:w="2880"/>
          </w:tcPr>
          <w:p>
            <w:r>
              <w:t>Adjust date ranges and filters</w:t>
            </w:r>
          </w:p>
        </w:tc>
      </w:tr>
      <w:tr>
        <w:tc>
          <w:tcPr>
            <w:tcW w:type="dxa" w:w="2880"/>
          </w:tcPr>
          <w:p>
            <w:r>
              <w:t>Provider still shows as unassigned</w:t>
            </w:r>
          </w:p>
        </w:tc>
        <w:tc>
          <w:tcPr>
            <w:tcW w:type="dxa" w:w="2880"/>
          </w:tcPr>
          <w:p>
            <w:r>
              <w:t>Transfer not completed properly</w:t>
            </w:r>
          </w:p>
        </w:tc>
        <w:tc>
          <w:tcPr>
            <w:tcW w:type="dxa" w:w="2880"/>
          </w:tcPr>
          <w:p>
            <w:r>
              <w:t>Repeat transfer process</w:t>
            </w:r>
          </w:p>
        </w:tc>
      </w:tr>
      <w:tr>
        <w:tc>
          <w:tcPr>
            <w:tcW w:type="dxa" w:w="2880"/>
          </w:tcPr>
          <w:p>
            <w:r>
              <w:t>Multiple transfers created</w:t>
            </w:r>
          </w:p>
        </w:tc>
        <w:tc>
          <w:tcPr>
            <w:tcW w:type="dxa" w:w="2880"/>
          </w:tcPr>
          <w:p>
            <w:r>
              <w:t>Duplicate process execution</w:t>
            </w:r>
          </w:p>
        </w:tc>
        <w:tc>
          <w:tcPr>
            <w:tcW w:type="dxa" w:w="2880"/>
          </w:tcPr>
          <w:p>
            <w:r>
              <w:t>Contact system administrator</w:t>
            </w:r>
          </w:p>
        </w:tc>
      </w:tr>
      <w:tr>
        <w:tc>
          <w:tcPr>
            <w:tcW w:type="dxa" w:w="2880"/>
          </w:tcPr>
          <w:p>
            <w:r>
              <w:t>Transfer amount incorrect</w:t>
            </w:r>
          </w:p>
        </w:tc>
        <w:tc>
          <w:tcPr>
            <w:tcW w:type="dxa" w:w="2880"/>
          </w:tcPr>
          <w:p>
            <w:r>
              <w:t>Split payment not fully selected</w:t>
            </w:r>
          </w:p>
        </w:tc>
        <w:tc>
          <w:tcPr>
            <w:tcW w:type="dxa" w:w="2880"/>
          </w:tcPr>
          <w:p>
            <w:r>
              <w:t>Cancel and restart with correct amount</w:t>
            </w:r>
          </w:p>
        </w:tc>
      </w:tr>
      <w:tr>
        <w:tc>
          <w:tcPr>
            <w:tcW w:type="dxa" w:w="2880"/>
          </w:tcPr>
          <w:p>
            <w:r>
              <w:t>System error during transfer</w:t>
            </w:r>
          </w:p>
        </w:tc>
        <w:tc>
          <w:tcPr>
            <w:tcW w:type="dxa" w:w="2880"/>
          </w:tcPr>
          <w:p>
            <w:r>
              <w:t>Software or connection issue</w:t>
            </w:r>
          </w:p>
        </w:tc>
        <w:tc>
          <w:tcPr>
            <w:tcW w:type="dxa" w:w="2880"/>
          </w:tcPr>
          <w:p>
            <w:r>
              <w:t>Document error, contact IT support</w:t>
            </w:r>
          </w:p>
        </w:tc>
      </w:tr>
    </w:tbl>
    <w:p>
      <w:pPr>
        <w:pStyle w:val="Heading2"/>
      </w:pPr>
      <w:r>
        <w:t>6. Approval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Transfer Amount</w:t>
            </w:r>
          </w:p>
        </w:tc>
        <w:tc>
          <w:tcPr>
            <w:tcW w:type="dxa" w:w="4320"/>
          </w:tcPr>
          <w:p>
            <w:r>
              <w:t>Approval Required</w:t>
            </w:r>
          </w:p>
        </w:tc>
      </w:tr>
      <w:tr>
        <w:tc>
          <w:tcPr>
            <w:tcW w:type="dxa" w:w="4320"/>
          </w:tcPr>
          <w:p>
            <w:r>
              <w:t>&lt; $500</w:t>
            </w:r>
          </w:p>
        </w:tc>
        <w:tc>
          <w:tcPr>
            <w:tcW w:type="dxa" w:w="4320"/>
          </w:tcPr>
          <w:p>
            <w:r>
              <w:t>Self-verification</w:t>
            </w:r>
          </w:p>
        </w:tc>
      </w:tr>
      <w:tr>
        <w:tc>
          <w:tcPr>
            <w:tcW w:type="dxa" w:w="4320"/>
          </w:tcPr>
          <w:p>
            <w:r>
              <w:t>$500 - $1,000</w:t>
            </w:r>
          </w:p>
        </w:tc>
        <w:tc>
          <w:tcPr>
            <w:tcW w:type="dxa" w:w="4320"/>
          </w:tcPr>
          <w:p>
            <w:r>
              <w:t>Team lead verification</w:t>
            </w:r>
          </w:p>
        </w:tc>
      </w:tr>
      <w:tr>
        <w:tc>
          <w:tcPr>
            <w:tcW w:type="dxa" w:w="4320"/>
          </w:tcPr>
          <w:p>
            <w:r>
              <w:t>&gt; $1,000</w:t>
            </w:r>
          </w:p>
        </w:tc>
        <w:tc>
          <w:tcPr>
            <w:tcW w:type="dxa" w:w="4320"/>
          </w:tcPr>
          <w:p>
            <w:r>
              <w:t>Manager approval required</w:t>
            </w:r>
          </w:p>
        </w:tc>
      </w:tr>
      <w:tr>
        <w:tc>
          <w:tcPr>
            <w:tcW w:type="dxa" w:w="4320"/>
          </w:tcPr>
          <w:p>
            <w:r>
              <w:t>&gt; $5,000</w:t>
            </w:r>
          </w:p>
        </w:tc>
        <w:tc>
          <w:tcPr>
            <w:tcW w:type="dxa" w:w="4320"/>
          </w:tcPr>
          <w:p>
            <w:r>
              <w:t>Director/owner approval required</w:t>
            </w:r>
          </w:p>
        </w:tc>
      </w:tr>
    </w:tbl>
    <w:p>
      <w:pPr>
        <w:pStyle w:val="Heading2"/>
      </w:pPr>
      <w:r>
        <w:t>7. Documentation and Record Keeping</w:t>
      </w:r>
    </w:p>
    <w:p>
      <w:pPr>
        <w:pStyle w:val="ListBullet"/>
      </w:pPr>
      <w:r>
        <w:t>Date and time of transfer</w:t>
      </w:r>
    </w:p>
    <w:p>
      <w:pPr>
        <w:pStyle w:val="ListBullet"/>
      </w:pPr>
      <w:r>
        <w:t>Staff member performing transfer</w:t>
      </w:r>
    </w:p>
    <w:p>
      <w:pPr>
        <w:pStyle w:val="ListBullet"/>
      </w:pPr>
      <w:r>
        <w:t>Source and destination providers</w:t>
      </w:r>
    </w:p>
    <w:p>
      <w:pPr>
        <w:pStyle w:val="ListBullet"/>
      </w:pPr>
      <w:r>
        <w:t>Amount transferred</w:t>
      </w:r>
    </w:p>
    <w:p>
      <w:pPr>
        <w:pStyle w:val="ListBullet"/>
      </w:pPr>
      <w:r>
        <w:t>Reason for transfer</w:t>
      </w:r>
    </w:p>
    <w:p>
      <w:pPr>
        <w:pStyle w:val="ListBullet"/>
      </w:pPr>
      <w:r>
        <w:t>Approval (if required)</w:t>
      </w:r>
    </w:p>
    <w:p>
      <w:pPr>
        <w:pStyle w:val="ListBullet"/>
      </w:pPr>
      <w:r>
        <w:t>Verification completion</w:t>
      </w:r>
    </w:p>
    <w:p>
      <w:pPr>
        <w:pStyle w:val="Heading2"/>
      </w:pPr>
      <w:r>
        <w:t>8. Monitoring and Analytics</w:t>
      </w:r>
    </w:p>
    <w:p>
      <w:pPr>
        <w:pStyle w:val="Heading3"/>
      </w:pPr>
      <w:r>
        <w:t>Daily Monitoring</w:t>
      </w:r>
    </w:p>
    <w:p>
      <w:pPr>
        <w:pStyle w:val="ListBullet"/>
      </w:pPr>
      <w:r>
        <w:t>Review all new income transfers</w:t>
      </w:r>
    </w:p>
    <w:p>
      <w:pPr>
        <w:pStyle w:val="ListBullet"/>
      </w:pPr>
      <w:r>
        <w:t>Verify proper documentation</w:t>
      </w:r>
    </w:p>
    <w:p>
      <w:pPr>
        <w:pStyle w:val="ListBullet"/>
      </w:pPr>
      <w:r>
        <w:t>Check for patterns requiring system or process changes</w:t>
      </w:r>
    </w:p>
    <w:p>
      <w:pPr>
        <w:pStyle w:val="Heading3"/>
      </w:pPr>
      <w:r>
        <w:t>Weekly Reporting</w:t>
      </w:r>
    </w:p>
    <w:p>
      <w:pPr>
        <w:pStyle w:val="ListBullet"/>
      </w:pPr>
      <w:r>
        <w:t>Total number and value of income transfers</w:t>
      </w:r>
    </w:p>
    <w:p>
      <w:pPr>
        <w:pStyle w:val="ListBullet"/>
      </w:pPr>
      <w:r>
        <w:t>Transfers by reason code</w:t>
      </w:r>
    </w:p>
    <w:p>
      <w:pPr>
        <w:pStyle w:val="ListBullet"/>
      </w:pPr>
      <w:r>
        <w:t>Transfers by staff member</w:t>
      </w:r>
    </w:p>
    <w:p>
      <w:pPr>
        <w:pStyle w:val="ListBullet"/>
      </w:pPr>
      <w:r>
        <w:t>Provider impact analysis</w:t>
      </w:r>
    </w:p>
    <w:p>
      <w:pPr>
        <w:pStyle w:val="Heading3"/>
      </w:pPr>
      <w:r>
        <w:t>Monthly Analysis</w:t>
      </w:r>
    </w:p>
    <w:p>
      <w:pPr>
        <w:pStyle w:val="ListBullet"/>
      </w:pPr>
      <w:r>
        <w:t>Identify root causes of transfers</w:t>
      </w:r>
    </w:p>
    <w:p>
      <w:pPr>
        <w:pStyle w:val="ListBullet"/>
      </w:pPr>
      <w:r>
        <w:t>Assess staff training needs</w:t>
      </w:r>
    </w:p>
    <w:p>
      <w:pPr>
        <w:pStyle w:val="ListBullet"/>
      </w:pPr>
      <w:r>
        <w:t>Evaluate process effectiveness</w:t>
      </w:r>
    </w:p>
    <w:p>
      <w:pPr>
        <w:pStyle w:val="ListBullet"/>
      </w:pPr>
      <w:r>
        <w:t>Recommend system or procedure changes</w:t>
      </w:r>
    </w:p>
    <w:p>
      <w:pPr>
        <w:pStyle w:val="Heading2"/>
      </w:pPr>
      <w:r>
        <w:t>9. Training Requirements</w:t>
      </w:r>
    </w:p>
    <w:p>
      <w:pPr>
        <w:pStyle w:val="ListNumber"/>
      </w:pPr>
      <w:r>
        <w:t>Complete initial income transfer training</w:t>
      </w:r>
    </w:p>
    <w:p>
      <w:pPr>
        <w:pStyle w:val="ListNumber"/>
      </w:pPr>
      <w:r>
        <w:t>Demonstrate proficiency in the process</w:t>
      </w:r>
    </w:p>
    <w:p>
      <w:pPr>
        <w:pStyle w:val="ListNumber"/>
      </w:pPr>
      <w:r>
        <w:t>Complete refresher training annually</w:t>
      </w:r>
    </w:p>
    <w:p>
      <w:pPr>
        <w:pStyle w:val="ListNumber"/>
      </w:pPr>
      <w:r>
        <w:t>Review updated procedures as released</w:t>
      </w:r>
    </w:p>
    <w:p>
      <w:pPr>
        <w:pStyle w:val="Heading2"/>
      </w:pPr>
      <w:r>
        <w:t>10. Audit Procedures</w:t>
      </w:r>
    </w:p>
    <w:p>
      <w:pPr>
        <w:pStyle w:val="ListBullet"/>
      </w:pPr>
      <w:r>
        <w:t>Randomly (10% of all transfers)</w:t>
      </w:r>
    </w:p>
    <w:p>
      <w:pPr>
        <w:pStyle w:val="ListBullet"/>
      </w:pPr>
      <w:r>
        <w:t>For all transfers over $1,000</w:t>
      </w:r>
    </w:p>
    <w:p>
      <w:pPr>
        <w:pStyle w:val="ListBullet"/>
      </w:pPr>
      <w:r>
        <w:t>For any provider with transfers exceeding 5% of monthly production</w:t>
      </w:r>
    </w:p>
    <w:p>
      <w:pPr>
        <w:pStyle w:val="ListBullet"/>
      </w:pPr>
      <w:r>
        <w:t>As part of quarterly financial reviews</w:t>
      </w:r>
    </w:p>
    <w:p>
      <w:pPr>
        <w:pStyle w:val="Heading2"/>
      </w:pPr>
      <w:r>
        <w:t>Implementation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Activities</w:t>
            </w:r>
          </w:p>
        </w:tc>
      </w:tr>
      <w:tr>
        <w:tc>
          <w:tcPr>
            <w:tcW w:type="dxa" w:w="2880"/>
          </w:tcPr>
          <w:p>
            <w:r>
              <w:t>1: Training</w:t>
            </w:r>
          </w:p>
        </w:tc>
        <w:tc>
          <w:tcPr>
            <w:tcW w:type="dxa" w:w="2880"/>
          </w:tcPr>
          <w:p>
            <w:r>
              <w:t>1 week</w:t>
            </w:r>
          </w:p>
        </w:tc>
        <w:tc>
          <w:tcPr>
            <w:tcW w:type="dxa" w:w="2880"/>
          </w:tcPr>
          <w:p>
            <w:r>
              <w:t>Staff training on new procedures</w:t>
            </w:r>
          </w:p>
        </w:tc>
      </w:tr>
      <w:tr>
        <w:tc>
          <w:tcPr>
            <w:tcW w:type="dxa" w:w="2880"/>
          </w:tcPr>
          <w:p>
            <w:r>
              <w:t>2: Supervised Operation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Transfers performed under supervision</w:t>
            </w:r>
          </w:p>
        </w:tc>
      </w:tr>
      <w:tr>
        <w:tc>
          <w:tcPr>
            <w:tcW w:type="dxa" w:w="2880"/>
          </w:tcPr>
          <w:p>
            <w:r>
              <w:t>3: Audit Period</w:t>
            </w:r>
          </w:p>
        </w:tc>
        <w:tc>
          <w:tcPr>
            <w:tcW w:type="dxa" w:w="2880"/>
          </w:tcPr>
          <w:p>
            <w:r>
              <w:t>1 month</w:t>
            </w:r>
          </w:p>
        </w:tc>
        <w:tc>
          <w:tcPr>
            <w:tcW w:type="dxa" w:w="2880"/>
          </w:tcPr>
          <w:p>
            <w:r>
              <w:t>100% audit of all transfers</w:t>
            </w:r>
          </w:p>
        </w:tc>
      </w:tr>
      <w:tr>
        <w:tc>
          <w:tcPr>
            <w:tcW w:type="dxa" w:w="2880"/>
          </w:tcPr>
          <w:p>
            <w:r>
              <w:t>4: Normal Operation</w:t>
            </w:r>
          </w:p>
        </w:tc>
        <w:tc>
          <w:tcPr>
            <w:tcW w:type="dxa" w:w="2880"/>
          </w:tcPr>
          <w:p>
            <w:r>
              <w:t>Ongoing</w:t>
            </w:r>
          </w:p>
        </w:tc>
        <w:tc>
          <w:tcPr>
            <w:tcW w:type="dxa" w:w="2880"/>
          </w:tcPr>
          <w:p>
            <w:r>
              <w:t>Regular process with standard audit rates</w:t>
            </w:r>
          </w:p>
        </w:tc>
      </w:tr>
    </w:tbl>
    <w:p>
      <w:pPr>
        <w:pStyle w:val="Heading2"/>
      </w:pPr>
      <w:r>
        <w:t>Attachments and Resources</w:t>
      </w:r>
    </w:p>
    <w:p>
      <w:pPr>
        <w:pStyle w:val="ListBullet"/>
      </w:pPr>
      <w:r>
        <w:t>Note: This section will include:</w:t>
      </w:r>
    </w:p>
    <w:p>
      <w:pPr>
        <w:pStyle w:val="ListBullet"/>
      </w:pPr>
      <w:r>
        <w:t>Screenshots of OpenDental UI for the transfer process</w:t>
      </w:r>
    </w:p>
    <w:p>
      <w:pPr>
        <w:pStyle w:val="ListBullet"/>
      </w:pPr>
      <w:r>
        <w:t>Sample reports for verification</w:t>
      </w:r>
    </w:p>
    <w:p>
      <w:pPr>
        <w:pStyle w:val="ListBullet"/>
      </w:pPr>
      <w:r>
        <w:t>Quick reference guide for common scenarios</w:t>
      </w:r>
    </w:p>
    <w:p>
      <w:pPr>
        <w:pStyle w:val="Heading2"/>
      </w:pPr>
      <w:r>
        <w:t>Revision 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Changes</w:t>
            </w:r>
          </w:p>
        </w:tc>
        <w:tc>
          <w:tcPr>
            <w:tcW w:type="dxa" w:w="2160"/>
          </w:tcPr>
          <w:p>
            <w:r>
              <w:t>Author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[Current Date]</w:t>
            </w:r>
          </w:p>
        </w:tc>
        <w:tc>
          <w:tcPr>
            <w:tcW w:type="dxa" w:w="2160"/>
          </w:tcPr>
          <w:p>
            <w:r>
              <w:t>Initial document creation</w:t>
            </w:r>
          </w:p>
        </w:tc>
        <w:tc>
          <w:tcPr>
            <w:tcW w:type="dxa" w:w="2160"/>
          </w:tcPr>
          <w:p>
            <w:r>
              <w:t>[Your Organization]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[Current Date]</w:t>
            </w:r>
          </w:p>
        </w:tc>
        <w:tc>
          <w:tcPr>
            <w:tcW w:type="dxa" w:w="2160"/>
          </w:tcPr>
          <w:p>
            <w:r>
              <w:t>Added Unassigned Payments Analysis</w:t>
            </w:r>
          </w:p>
        </w:tc>
        <w:tc>
          <w:tcPr>
            <w:tcW w:type="dxa" w:w="2160"/>
          </w:tcPr>
          <w:p>
            <w:r>
              <w:t>[Your Organization]</w:t>
            </w:r>
          </w:p>
        </w:tc>
      </w:tr>
    </w:tbl>
    <w:p>
      <w:r>
        <w:br/>
        <w:t>Approved by: ________________________</w:t>
      </w:r>
    </w:p>
    <w:p>
      <w:r>
        <w:t>Date: _______________________________</w:t>
      </w:r>
    </w:p>
    <w:p>
      <w:pPr>
        <w:pStyle w:val="Heading2"/>
      </w:pPr>
      <w:r>
        <w:t>Appendix A: Unassigned Payments Analysis</w:t>
      </w:r>
    </w:p>
    <w:p>
      <w:pPr>
        <w:pStyle w:val="Heading3"/>
      </w:pPr>
      <w:r>
        <w:t>Current Issues Analysis</w:t>
      </w:r>
    </w:p>
    <w:p>
      <w:r>
        <w:t>Based on a comprehensive analysis of unassigned provider transactions, the following patterns have been identified:</w:t>
      </w:r>
    </w:p>
    <w:p>
      <w:pPr>
        <w:pStyle w:val="Heading3"/>
      </w:pPr>
      <w:r>
        <w:t>Key Contributors</w:t>
      </w:r>
    </w:p>
    <w:p>
      <w:pPr>
        <w:pStyle w:val="ListNumber"/>
      </w:pPr>
      <w:r>
        <w:t>1. User Patterns:</w:t>
      </w:r>
    </w:p>
    <w:p>
      <w:pPr>
        <w:pStyle w:val="ListBullet"/>
      </w:pPr>
      <w:r>
        <w:t>Sophie (16 transactions) is the primary contributor to unassigned payments</w:t>
      </w:r>
    </w:p>
    <w:p>
      <w:pPr>
        <w:pStyle w:val="ListBullet"/>
      </w:pPr>
      <w:r>
        <w:t>Chelsea, Emily, and Melanie each contributed approximately 11 transactions</w:t>
      </w:r>
    </w:p>
    <w:p>
      <w:pPr>
        <w:pStyle w:val="ListBullet"/>
      </w:pPr>
      <w:r>
        <w:t>The Admin Group department accounts for the highest number of unassigned transactions (32)</w:t>
      </w:r>
    </w:p>
    <w:p>
      <w:pPr>
        <w:pStyle w:val="Heading3"/>
      </w:pPr>
      <w:r>
        <w:t>Payment Types</w:t>
      </w:r>
    </w:p>
    <w:p>
      <w:pPr>
        <w:pStyle w:val="ListBullet"/>
      </w:pPr>
      <w:r>
        <w:t>Credit Card transactions represent the majority of unassigned payments</w:t>
      </w:r>
    </w:p>
    <w:p>
      <w:pPr>
        <w:pStyle w:val="ListBullet"/>
      </w:pPr>
      <w:r>
        <w:t>Patient Refund transactions are the second most common type</w:t>
      </w:r>
    </w:p>
    <w:p>
      <w:pPr>
        <w:pStyle w:val="ListBullet"/>
      </w:pPr>
      <w:r>
        <w:t>Check and Care Credit transactions also appear in unassigned payments</w:t>
      </w:r>
    </w:p>
    <w:p>
      <w:pPr>
        <w:pStyle w:val="Heading3"/>
      </w:pPr>
      <w:r>
        <w:t>Time Patterns</w:t>
      </w:r>
    </w:p>
    <w:p>
      <w:pPr>
        <w:pStyle w:val="ListBullet"/>
      </w:pPr>
      <w:r>
        <w:t>February 15th shows a significant spike in unassigned transactions</w:t>
      </w:r>
    </w:p>
    <w:p>
      <w:pPr>
        <w:pStyle w:val="ListBullet"/>
      </w:pPr>
      <w:r>
        <w:t>Tuesdays have the highest frequency of unassigned transaction entries</w:t>
      </w:r>
    </w:p>
    <w:p>
      <w:pPr>
        <w:pStyle w:val="ListBullet"/>
      </w:pPr>
      <w:r>
        <w:t>Transaction frequency shows an irregular pattern suggesting batch processing</w:t>
      </w:r>
    </w:p>
    <w:p>
      <w:pPr>
        <w:pStyle w:val="Heading3"/>
      </w:pPr>
      <w:r>
        <w:t>Provider Associations</w:t>
      </w:r>
    </w:p>
    <w:p>
      <w:pPr>
        <w:pStyle w:val="ListBullet"/>
      </w:pPr>
      <w:r>
        <w:t>Dr. Timothy Kamp and Dr. Beau Schneider have the most patients with unassigned payments</w:t>
      </w:r>
    </w:p>
    <w:p>
      <w:pPr>
        <w:pStyle w:val="ListBullet"/>
      </w:pPr>
      <w:r>
        <w:t>This suggests their patients' payments are being processed without proper provider assignment</w:t>
      </w:r>
    </w:p>
    <w:p>
      <w:pPr>
        <w:pStyle w:val="Heading3"/>
      </w:pPr>
      <w:r>
        <w:t>Root Causes</w:t>
      </w:r>
    </w:p>
    <w:p>
      <w:pPr>
        <w:pStyle w:val="ListNumber"/>
      </w:pPr>
      <w:r>
        <w:t>Training Gaps: Users, particularly Sophie, may not understand the importance of assigning providers to payments or the financial impact of unassigned payments.</w:t>
      </w:r>
    </w:p>
    <w:p>
      <w:pPr>
        <w:pStyle w:val="ListNumber"/>
      </w:pPr>
      <w:r>
        <w:t>System Design Issues: The payment entry screen may not make the provider field mandatory or prominent enough during the payment entry process.</w:t>
      </w:r>
    </w:p>
    <w:p>
      <w:pPr>
        <w:pStyle w:val="ListNumber"/>
      </w:pPr>
      <w:r>
        <w:t>Workflow Disconnects: Payments are likely being processed separately from treatment documentation, causing disconnection between provider information and the payment process.</w:t>
      </w:r>
    </w:p>
    <w:p>
      <w:pPr>
        <w:pStyle w:val="ListNumber"/>
      </w:pPr>
      <w:r>
        <w:t>Time Pressure: The Tuesday pattern and transaction spikes suggest higher workloads may be leading to shortcuts in data entry.</w:t>
      </w:r>
    </w:p>
    <w:p>
      <w:pPr>
        <w:pStyle w:val="ListNumber"/>
      </w:pPr>
      <w:r>
        <w:t>Credit Card Processing: The predominance of credit card transactions suggests a specific issue in how these payments are being processed in the system.</w:t>
      </w:r>
    </w:p>
    <w:p>
      <w:pPr>
        <w:pStyle w:val="Heading3"/>
      </w:pPr>
      <w:r>
        <w:t>Targeted Intervention Plan</w:t>
      </w:r>
    </w:p>
    <w:p>
      <w:pPr>
        <w:pStyle w:val="Heading4"/>
      </w:pPr>
      <w:r>
        <w:t>High Priority Actions</w:t>
      </w:r>
    </w:p>
    <w:p>
      <w:pPr>
        <w:pStyle w:val="ListBullet"/>
      </w:pPr>
      <w:r>
        <w:t>Individual Training: Provide targeted one-on-one training for Sophie focusing on proper provider assignment; observe Sophie's workflow; follow up with Chelsea and Emily.</w:t>
      </w:r>
    </w:p>
    <w:p>
      <w:pPr>
        <w:pStyle w:val="ListBullet"/>
      </w:pPr>
      <w:r>
        <w:t>System Enhancement: Implement provider field validation; add warning messages for unassigned provider selection.</w:t>
      </w:r>
    </w:p>
    <w:p>
      <w:pPr>
        <w:pStyle w:val="ListBullet"/>
      </w:pPr>
      <w:r>
        <w:t>Process Improvement: Create a daily report of unassigned provider transactions; implement a quick review process at the end of each day, especially for Tuesdays.</w:t>
      </w:r>
    </w:p>
    <w:p>
      <w:pPr>
        <w:pStyle w:val="Heading4"/>
      </w:pPr>
      <w:r>
        <w:t>Medium Priority Actions</w:t>
      </w:r>
    </w:p>
    <w:p>
      <w:pPr>
        <w:pStyle w:val="ListBullet"/>
      </w:pPr>
      <w:r>
        <w:t>Department Training: Schedule department-wide training for the Admin Group on proper payment processing; develop visual step-by-step guides emphasizing provider assignment.</w:t>
      </w:r>
    </w:p>
    <w:p>
      <w:pPr>
        <w:pStyle w:val="ListBullet"/>
      </w:pPr>
      <w:r>
        <w:t>Payment Type Controls: Implement specific validation controls for Credit Card payment processing; review the Patient Refund workflow.</w:t>
      </w:r>
    </w:p>
    <w:p>
      <w:pPr>
        <w:pStyle w:val="ListBullet"/>
      </w:pPr>
      <w:r>
        <w:t>Workload Management: Review staffing and workflow on Tuesdays; consider redistributing tasks to reduce data entry burdens during peak times.</w:t>
      </w:r>
    </w:p>
    <w:p>
      <w:pPr>
        <w:pStyle w:val="Heading3"/>
      </w:pPr>
      <w:r>
        <w:t>Monitoring Plan</w:t>
      </w:r>
    </w:p>
    <w:p>
      <w:pPr>
        <w:pStyle w:val="ListNumber"/>
      </w:pPr>
      <w:r>
        <w:t>Daily Monitoring: Track Sophie's transactions daily for the first two weeks following training; review all unassigned provider transactions each morning.</w:t>
      </w:r>
    </w:p>
    <w:p>
      <w:pPr>
        <w:pStyle w:val="ListNumber"/>
      </w:pPr>
      <w:r>
        <w:t>Weekly Analysis: Analyze unassigned payments by user, payment type, and day of week; provide feedback to staff on improvement trends.</w:t>
      </w:r>
    </w:p>
    <w:p>
      <w:pPr>
        <w:pStyle w:val="ListNumber"/>
      </w:pPr>
      <w:r>
        <w:t>Monthly Review: Evaluate the effectiveness of interventions; adjust training and processes based on ongoing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