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66666"/>
          <w:sz w:val="20"/>
        </w:rPr>
        <w:t>Duoc UC · Ingeniería en Informática · Capstone APT122</w:t>
      </w:r>
    </w:p>
    <w:p>
      <w:pPr>
        <w:jc w:val="center"/>
      </w:pPr>
      <w:r>
        <w:rPr>
          <w:b/>
          <w:color w:val="5A6E35"/>
          <w:sz w:val="44"/>
        </w:rPr>
        <w:t>Modelo de base de datos relacional</w:t>
      </w:r>
    </w:p>
    <w:p>
      <w:pPr>
        <w:jc w:val="center"/>
      </w:pPr>
      <w:r>
        <w:rPr>
          <w:color w:val="1F2937"/>
          <w:sz w:val="26"/>
        </w:rPr>
        <w:t>Modelo conceptual, entidad-relación, tablas, claves e integridad referencial</w:t>
      </w:r>
    </w:p>
    <w:p>
      <w:pPr>
        <w:jc w:val="center"/>
      </w:pPr>
      <w:r>
        <w:rPr>
          <w:color w:val="1F2937"/>
          <w:sz w:val="20"/>
        </w:rPr>
        <w:t>Proyecto La200 / PuntoSync · Empresa La200 · ladoscientos.cl</w:t>
      </w:r>
    </w:p>
    <w:p>
      <w:pPr>
        <w:jc w:val="center"/>
      </w:pPr>
      <w:r>
        <w:rPr>
          <w:color w:val="666666"/>
          <w:sz w:val="18"/>
        </w:rPr>
        <w:t>Metodología Waterfall · Fase de Diseño · Semana 7 de 18</w:t>
      </w:r>
    </w:p>
    <w:p>
      <w:r>
        <w:t>Integrantes: Joaquín Díaz (Jefe de proyecto), Ariel Cariqueo (Arquitectura y desarrollo), Benjamín Repetto (Pagos, pedidos en línea y operación del local).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Consolidar el modelo de base de datos de PuntoSync como entregable de diseño. Se cubre modelo conceptual, modelo entidad–relación, base relacional SQLite, tablas, claves primarias, claves foráneas y reglas de integridad.</w:t>
      </w:r>
    </w:p>
    <w:p>
      <w:pPr>
        <w:pStyle w:val="Heading1"/>
      </w:pPr>
      <w:r>
        <w:t>2. Alcance del modelo</w:t>
      </w:r>
    </w:p>
    <w:p>
      <w:r>
        <w:t>El modelo cubre doce tablas principales y soporta identidad/acceso, catálogo, venta presencial, pedidos web, Webpay, configuración y cierre de caja. La persistencia actual está implementada en SQLite; la evolución propuesta considera PostgreSQL y respaldos automáticos en etapas futuras.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727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727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1. Modelo entidad-relación de PuntoSync / La200.</w:t>
      </w:r>
    </w:p>
    <w:p>
      <w:pPr>
        <w:pStyle w:val="Heading1"/>
      </w:pPr>
      <w:r>
        <w:t>3. Entidades relacionales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2448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Entidad</w:t>
            </w:r>
          </w:p>
        </w:tc>
        <w:tc>
          <w:tcPr>
            <w:tcW w:type="dxa" w:w="5760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1440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PK</w:t>
            </w:r>
          </w:p>
        </w:tc>
        <w:tc>
          <w:tcPr>
            <w:tcW w:type="dxa" w:w="3168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FK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users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Usuarios del sistema: administración y vendedores.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password_recovery_tokens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Tokens de recuperación de contraseña o autenticador.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user_id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recovery_request_logs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Registro de solicitudes de recuperación y rate limit.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categories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Categorías de productos administradas desde inventario.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products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Catálogo e inventario del local.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category_id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sales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Ventas registradas en POS.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seller_id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sale_items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Detalle de cada venta.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sale_id, product_id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online_orders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Pedidos de la tienda web con retiro en local.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online_order_items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Detalle de cada pedido web.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order_id, product_id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cash_closes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Cierres de caja diarios.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closed_by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settings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Parámetros de configuración.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4"/>
              </w:rPr>
              <w:t>webpay_sessions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4"/>
              </w:rPr>
              <w:t>Transacciones Webpay asociadas a pedidos.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4"/>
              </w:rPr>
              <w:t>order_id</w:t>
            </w:r>
          </w:p>
        </w:tc>
      </w:tr>
    </w:tbl>
    <w:p>
      <w:pPr>
        <w:pStyle w:val="Heading1"/>
      </w:pPr>
      <w:r>
        <w:t>4. Reglas de integridad referencial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600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Relación</w:t>
            </w:r>
          </w:p>
        </w:tc>
        <w:tc>
          <w:tcPr>
            <w:tcW w:type="dxa" w:w="1584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FK</w:t>
            </w:r>
          </w:p>
        </w:tc>
        <w:tc>
          <w:tcPr>
            <w:tcW w:type="dxa" w:w="1728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ON DELETE</w:t>
            </w:r>
          </w:p>
        </w:tc>
        <w:tc>
          <w:tcPr>
            <w:tcW w:type="dxa" w:w="6480"/>
            <w:vAlign w:val="top"/>
            <w:shd w:fill="5A6E35"/>
          </w:tcPr>
          <w:p>
            <w:r/>
            <w:r>
              <w:rPr>
                <w:b/>
                <w:color w:val="FFFFFF"/>
                <w:sz w:val="14"/>
              </w:rPr>
              <w:t>Justificación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users → password_recovery_tokens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user_id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CASCADE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Si se elimina usuario, se eliminan sus tokens.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users → sales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seller_id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RESTRICT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No se elimina vendedor con ventas históricas.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sales → sale_items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sale_id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CASCADE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Eliminar venta elimina detalle asociado.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products → sale_items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product_id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SET NULL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Mantiene histórico con product_name aunque se elimine producto.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online_orders → online_order_items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order_id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CASCADE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Eliminar pedido elimina detalle.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products → online_order_items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product_id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SET NULL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Mantiene histórico del pedido.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online_orders → webpay_sessions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order_id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CASCADE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Eliminar pedido elimina sesiones Webpay asociadas.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users → cash_closes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closed_by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RESTRICT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Evita borrar responsable de cierre.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4"/>
              </w:rPr>
              <w:t>categories → products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category_id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RESTRICT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4"/>
              </w:rPr>
              <w:t>Categoría obligatoria; no se borra si tiene productos.</w:t>
            </w:r>
          </w:p>
        </w:tc>
      </w:tr>
    </w:tbl>
    <w:p>
      <w:pPr>
        <w:pStyle w:val="Heading1"/>
      </w:pPr>
      <w:r>
        <w:t>5. Trazabilidad requisitos → tablas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432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7488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Tablas que lo soportan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RF-01 Venta POS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products, sales, sale_items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RF-02 Efectivo/vuelto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sales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RF-03 Cobro TUU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sales, settings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RF-04 Catálogo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products, categories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RF-05 Webpay/retiro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online_orders, webpay_sessions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RF-06 Pedidos pendientes/pagados/retirados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online_orders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RF-07 Stock sincronizado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products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RF-08 Reportes/cierre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products, sales, cash_closes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RF-09 Login escritorio con 2FA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users</w:t>
            </w:r>
          </w:p>
        </w:tc>
      </w:tr>
      <w:tr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RF-10 Administración separada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6"/>
              </w:rPr>
              <w:t>users(role)</w:t>
            </w:r>
          </w:p>
        </w:tc>
      </w:tr>
    </w:tbl>
    <w:p>
      <w:pPr>
        <w:pStyle w:val="Heading1"/>
      </w:pPr>
      <w:r>
        <w:t>6. Decisiones y evolución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295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295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2. Ruta de escalabilidad propuesta de la base de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70"/>
        <w:gridCol w:w="7070"/>
      </w:tblGrid>
      <w:tr>
        <w:tc>
          <w:tcPr>
            <w:tcW w:type="dxa" w:w="360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864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SQLite actual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6"/>
              </w:rPr>
              <w:t>Adecuado para demostración y un único local con una escritura a la vez.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PRAGMA foreign_keys=ON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6"/>
              </w:rPr>
              <w:t>Activado en cada conexión para exigir claves foráneas.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Índices en FK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6"/>
              </w:rPr>
              <w:t>Mejoran consultas y verificaciones referenciales.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Respaldo previo a migraciones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6"/>
              </w:rPr>
              <w:t>Reduce riesgo al aplicar cambios de esquema al iniciar.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Anonimización de pedidos finalizados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6"/>
              </w:rPr>
              <w:t>Reduce exposición de datos personales de clientes.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Ruta futura PostgreSQL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6"/>
              </w:rPr>
              <w:t>Propuesta para despliegue en ladoscientos.cl o crecimiento.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A6E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85C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5A6E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Caption">
    <w:name w:val="Figura Caption"/>
    <w:rPr>
      <w:rFonts w:ascii="Arial" w:hAnsi="Arial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