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496984C" w:rsidP="184E7DD1" w:rsidRDefault="6496984C" w14:paraId="3B7A7C4F" w14:textId="0E8BFD8E">
      <w:pPr>
        <w:pStyle w:val="Heading1"/>
        <w:jc w:val="center"/>
        <w:rPr>
          <w:rFonts w:ascii="Calibri Light" w:hAnsi="Calibri Light" w:eastAsia="" w:cs=""/>
          <w:b w:val="1"/>
          <w:bCs w:val="1"/>
          <w:noProof w:val="0"/>
          <w:color w:val="2F5496" w:themeColor="accent1" w:themeTint="FF" w:themeShade="BF"/>
          <w:sz w:val="32"/>
          <w:szCs w:val="32"/>
          <w:lang w:val="en-US"/>
        </w:rPr>
      </w:pPr>
      <w:r w:rsidRPr="6E0B74AC" w:rsidR="6496984C">
        <w:rPr>
          <w:noProof w:val="0"/>
          <w:lang w:val="en-US"/>
        </w:rPr>
        <w:t>Comparing Editorial Style</w:t>
      </w:r>
      <w:r w:rsidRPr="6E0B74AC" w:rsidR="6EA0C3E2">
        <w:rPr>
          <w:noProof w:val="0"/>
          <w:lang w:val="en-US"/>
        </w:rPr>
        <w:t>s</w:t>
      </w:r>
      <w:r w:rsidRPr="6E0B74AC" w:rsidR="6496984C">
        <w:rPr>
          <w:noProof w:val="0"/>
          <w:lang w:val="en-US"/>
        </w:rPr>
        <w:t>: Names of Institutions, Companies, Associations, and Conferences</w:t>
      </w:r>
    </w:p>
    <w:p w:rsidR="6496984C" w:rsidP="184E7DD1" w:rsidRDefault="6496984C" w14:paraId="2F226D7C" w14:textId="31C1D00D">
      <w:pPr>
        <w:pStyle w:val="Heading3"/>
        <w:rPr>
          <w:rFonts w:ascii="Calibri Light" w:hAnsi="Calibri Light" w:eastAsia="" w:cs=""/>
          <w:b w:val="1"/>
          <w:bCs w:val="1"/>
          <w:noProof w:val="0"/>
          <w:color w:val="1F3763"/>
          <w:sz w:val="24"/>
          <w:szCs w:val="24"/>
          <w:lang w:val="en-US"/>
        </w:rPr>
      </w:pPr>
      <w:r w:rsidRPr="21975BB2" w:rsidR="6496984C">
        <w:rPr>
          <w:noProof w:val="0"/>
          <w:lang w:val="en-US"/>
        </w:rPr>
        <w:t>Sources</w:t>
      </w:r>
    </w:p>
    <w:p w:rsidR="631F57A9" w:rsidP="184E7DD1" w:rsidRDefault="631F57A9" w14:paraId="57C8B66C" w14:textId="4613AE33">
      <w:pPr>
        <w:pStyle w:val="ListParagraph"/>
        <w:numPr>
          <w:ilvl w:val="0"/>
          <w:numId w:val="1"/>
        </w:numPr>
        <w:rPr>
          <w:rFonts w:ascii="Calibri" w:hAnsi="Calibri" w:eastAsia="Calibri" w:cs="Calibri" w:asciiTheme="minorAscii" w:hAnsiTheme="minorAscii" w:eastAsiaTheme="minorAscii" w:cstheme="minorAscii"/>
          <w:b w:val="0"/>
          <w:bCs w:val="0"/>
          <w:noProof w:val="0"/>
          <w:sz w:val="22"/>
          <w:szCs w:val="22"/>
          <w:lang w:val="en-US"/>
        </w:rPr>
      </w:pPr>
      <w:r w:rsidRPr="21975BB2" w:rsidR="631F57A9">
        <w:rPr>
          <w:rFonts w:ascii="Calibri" w:hAnsi="Calibri" w:eastAsia="Calibri" w:cs="Calibri"/>
          <w:b w:val="0"/>
          <w:bCs w:val="0"/>
          <w:i w:val="1"/>
          <w:iCs w:val="1"/>
          <w:noProof w:val="0"/>
          <w:sz w:val="22"/>
          <w:szCs w:val="22"/>
          <w:lang w:val="en-US"/>
        </w:rPr>
        <w:t>The Chicago Manual of Style</w:t>
      </w:r>
      <w:r w:rsidRPr="21975BB2" w:rsidR="3EADEF11">
        <w:rPr>
          <w:rFonts w:ascii="Calibri" w:hAnsi="Calibri" w:eastAsia="Calibri" w:cs="Calibri"/>
          <w:b w:val="0"/>
          <w:bCs w:val="0"/>
          <w:noProof w:val="0"/>
          <w:sz w:val="22"/>
          <w:szCs w:val="22"/>
          <w:lang w:val="en-US"/>
        </w:rPr>
        <w:t>, 17</w:t>
      </w:r>
      <w:r w:rsidRPr="21975BB2" w:rsidR="3EADEF11">
        <w:rPr>
          <w:rFonts w:ascii="Calibri" w:hAnsi="Calibri" w:eastAsia="Calibri" w:cs="Calibri"/>
          <w:b w:val="0"/>
          <w:bCs w:val="0"/>
          <w:noProof w:val="0"/>
          <w:sz w:val="22"/>
          <w:szCs w:val="22"/>
          <w:vertAlign w:val="superscript"/>
          <w:lang w:val="en-US"/>
        </w:rPr>
        <w:t>th</w:t>
      </w:r>
      <w:r w:rsidRPr="21975BB2" w:rsidR="3EADEF11">
        <w:rPr>
          <w:rFonts w:ascii="Calibri" w:hAnsi="Calibri" w:eastAsia="Calibri" w:cs="Calibri"/>
          <w:b w:val="0"/>
          <w:bCs w:val="0"/>
          <w:noProof w:val="0"/>
          <w:sz w:val="22"/>
          <w:szCs w:val="22"/>
          <w:lang w:val="en-US"/>
        </w:rPr>
        <w:t xml:space="preserve"> ed. Chicago: University of Chicago Press, 2017. [CMS]</w:t>
      </w:r>
    </w:p>
    <w:p w:rsidR="631F57A9" w:rsidP="184E7DD1" w:rsidRDefault="631F57A9" w14:paraId="6FFF9429" w14:textId="17A3AF42">
      <w:pPr>
        <w:pStyle w:val="ListParagraph"/>
        <w:numPr>
          <w:ilvl w:val="0"/>
          <w:numId w:val="1"/>
        </w:numPr>
        <w:rPr>
          <w:b w:val="0"/>
          <w:bCs w:val="0"/>
          <w:noProof w:val="0"/>
          <w:sz w:val="22"/>
          <w:szCs w:val="22"/>
          <w:lang w:val="en-US"/>
        </w:rPr>
      </w:pPr>
      <w:r w:rsidRPr="6E0B74AC" w:rsidR="6A465FA8">
        <w:rPr>
          <w:rFonts w:ascii="Calibri" w:hAnsi="Calibri" w:eastAsia="Calibri" w:cs="Calibri"/>
          <w:b w:val="0"/>
          <w:bCs w:val="0"/>
          <w:noProof w:val="0"/>
          <w:sz w:val="22"/>
          <w:szCs w:val="22"/>
          <w:lang w:val="en-US"/>
        </w:rPr>
        <w:t>Favilla, Emmy, and</w:t>
      </w:r>
      <w:r w:rsidRPr="6E0B74AC" w:rsidR="6463FB66">
        <w:rPr>
          <w:rFonts w:ascii="Calibri" w:hAnsi="Calibri" w:eastAsia="Calibri" w:cs="Calibri"/>
          <w:b w:val="0"/>
          <w:bCs w:val="0"/>
          <w:noProof w:val="0"/>
          <w:sz w:val="22"/>
          <w:szCs w:val="22"/>
          <w:lang w:val="en-US"/>
        </w:rPr>
        <w:t xml:space="preserve"> Buzzfeed News.</w:t>
      </w:r>
      <w:r w:rsidRPr="6E0B74AC" w:rsidR="6A465FA8">
        <w:rPr>
          <w:rFonts w:ascii="Calibri" w:hAnsi="Calibri" w:eastAsia="Calibri" w:cs="Calibri"/>
          <w:b w:val="0"/>
          <w:bCs w:val="0"/>
          <w:noProof w:val="0"/>
          <w:sz w:val="22"/>
          <w:szCs w:val="22"/>
          <w:lang w:val="en-US"/>
        </w:rPr>
        <w:t xml:space="preserve"> </w:t>
      </w:r>
      <w:r w:rsidRPr="6E0B74AC" w:rsidR="43B66DFF">
        <w:rPr>
          <w:rFonts w:ascii="Calibri" w:hAnsi="Calibri" w:eastAsia="Calibri" w:cs="Calibri"/>
          <w:b w:val="0"/>
          <w:bCs w:val="0"/>
          <w:noProof w:val="0"/>
          <w:sz w:val="22"/>
          <w:szCs w:val="22"/>
          <w:lang w:val="en-US"/>
        </w:rPr>
        <w:t>“</w:t>
      </w:r>
      <w:r w:rsidRPr="6E0B74AC" w:rsidR="631F57A9">
        <w:rPr>
          <w:rFonts w:ascii="Calibri" w:hAnsi="Calibri" w:eastAsia="Calibri" w:cs="Calibri"/>
          <w:b w:val="0"/>
          <w:bCs w:val="0"/>
          <w:noProof w:val="0"/>
          <w:sz w:val="22"/>
          <w:szCs w:val="22"/>
          <w:lang w:val="en-US"/>
        </w:rPr>
        <w:t>The Buzzfeed Style Guide</w:t>
      </w:r>
      <w:r w:rsidRPr="6E0B74AC" w:rsidR="127109E5">
        <w:rPr>
          <w:rFonts w:ascii="Calibri" w:hAnsi="Calibri" w:eastAsia="Calibri" w:cs="Calibri"/>
          <w:b w:val="0"/>
          <w:bCs w:val="0"/>
          <w:noProof w:val="0"/>
          <w:sz w:val="22"/>
          <w:szCs w:val="22"/>
          <w:lang w:val="en-US"/>
        </w:rPr>
        <w:t>”. New York: Buzzfeed News, 2002. [BFG]</w:t>
      </w:r>
    </w:p>
    <w:p w:rsidR="631F57A9" w:rsidP="29537146" w:rsidRDefault="631F57A9" w14:paraId="3EF8E248" w14:textId="6E26C03B">
      <w:pPr>
        <w:pStyle w:val="ListParagraph"/>
        <w:numPr>
          <w:ilvl w:val="0"/>
          <w:numId w:val="1"/>
        </w:numPr>
        <w:rPr>
          <w:b w:val="0"/>
          <w:bCs w:val="0"/>
          <w:noProof w:val="0"/>
          <w:sz w:val="22"/>
          <w:szCs w:val="22"/>
          <w:lang w:val="en-US"/>
        </w:rPr>
      </w:pPr>
      <w:proofErr w:type="spellStart"/>
      <w:r w:rsidRPr="21975BB2" w:rsidR="631F57A9">
        <w:rPr>
          <w:rFonts w:ascii="Calibri" w:hAnsi="Calibri" w:eastAsia="Calibri" w:cs="Calibri"/>
          <w:b w:val="0"/>
          <w:bCs w:val="0"/>
          <w:noProof w:val="0"/>
          <w:sz w:val="22"/>
          <w:szCs w:val="22"/>
          <w:lang w:val="en-US"/>
        </w:rPr>
        <w:t>Pallep</w:t>
      </w:r>
      <w:proofErr w:type="spellEnd"/>
      <w:r w:rsidRPr="21975BB2" w:rsidR="631F57A9">
        <w:rPr>
          <w:rFonts w:ascii="Calibri" w:hAnsi="Calibri" w:eastAsia="Calibri" w:cs="Calibri"/>
          <w:b w:val="0"/>
          <w:bCs w:val="0"/>
          <w:noProof w:val="0"/>
          <w:sz w:val="22"/>
          <w:szCs w:val="22"/>
          <w:lang w:val="en-US"/>
        </w:rPr>
        <w:t xml:space="preserve">, et al. </w:t>
      </w:r>
      <w:r w:rsidRPr="21975BB2" w:rsidR="631F57A9">
        <w:rPr>
          <w:rFonts w:ascii="Calibri" w:hAnsi="Calibri" w:eastAsia="Calibri" w:cs="Calibri"/>
          <w:b w:val="0"/>
          <w:bCs w:val="0"/>
          <w:i w:val="1"/>
          <w:iCs w:val="1"/>
          <w:noProof w:val="0"/>
          <w:sz w:val="22"/>
          <w:szCs w:val="22"/>
          <w:lang w:val="en-US"/>
        </w:rPr>
        <w:t>Microsoft Writing Style Guide</w:t>
      </w:r>
      <w:r w:rsidRPr="21975BB2" w:rsidR="631F57A9">
        <w:rPr>
          <w:rFonts w:ascii="Calibri" w:hAnsi="Calibri" w:eastAsia="Calibri" w:cs="Calibri"/>
          <w:b w:val="0"/>
          <w:bCs w:val="0"/>
          <w:i w:val="0"/>
          <w:iCs w:val="0"/>
          <w:noProof w:val="0"/>
          <w:sz w:val="22"/>
          <w:szCs w:val="22"/>
          <w:lang w:val="en-US"/>
        </w:rPr>
        <w:t>. Washington: Microsoft, 2022. [MSG]</w:t>
      </w:r>
    </w:p>
    <w:p w:rsidR="2BBC253F" w:rsidP="21975BB2" w:rsidRDefault="2BBC253F" w14:paraId="4155A350" w14:textId="5FFDF18B">
      <w:pPr>
        <w:pStyle w:val="ListParagraph"/>
        <w:numPr>
          <w:ilvl w:val="0"/>
          <w:numId w:val="1"/>
        </w:numPr>
        <w:rPr>
          <w:b w:val="0"/>
          <w:bCs w:val="0"/>
          <w:noProof w:val="0"/>
          <w:sz w:val="22"/>
          <w:szCs w:val="22"/>
          <w:lang w:val="en-US"/>
        </w:rPr>
      </w:pPr>
      <w:r w:rsidRPr="21975BB2" w:rsidR="2BBC253F">
        <w:rPr>
          <w:rFonts w:ascii="Calibri" w:hAnsi="Calibri" w:eastAsia="Calibri" w:cs="Calibri"/>
          <w:b w:val="0"/>
          <w:bCs w:val="0"/>
          <w:i w:val="1"/>
          <w:iCs w:val="1"/>
          <w:noProof w:val="0"/>
          <w:sz w:val="22"/>
          <w:szCs w:val="22"/>
          <w:lang w:val="en-US"/>
        </w:rPr>
        <w:t>IEEE Editorial Style Manual</w:t>
      </w:r>
      <w:r w:rsidRPr="21975BB2" w:rsidR="2BBC253F">
        <w:rPr>
          <w:rFonts w:ascii="Calibri" w:hAnsi="Calibri" w:eastAsia="Calibri" w:cs="Calibri"/>
          <w:b w:val="0"/>
          <w:bCs w:val="0"/>
          <w:i w:val="0"/>
          <w:iCs w:val="0"/>
          <w:noProof w:val="0"/>
          <w:sz w:val="22"/>
          <w:szCs w:val="22"/>
          <w:lang w:val="en-US"/>
        </w:rPr>
        <w:t>. N.p.: IEEE, n.d. [IEEE]</w:t>
      </w:r>
    </w:p>
    <w:p w:rsidR="29537146" w:rsidP="29537146" w:rsidRDefault="29537146" w14:paraId="48E63A08" w14:textId="5A94360B">
      <w:pPr>
        <w:pStyle w:val="Normal"/>
        <w:rPr>
          <w:rFonts w:ascii="Calibri" w:hAnsi="Calibri" w:eastAsia="Calibri" w:cs="Calibri"/>
          <w:b w:val="0"/>
          <w:bCs w:val="0"/>
          <w:noProof w:val="0"/>
          <w:sz w:val="22"/>
          <w:szCs w:val="22"/>
          <w:lang w:val="en-US"/>
        </w:rPr>
      </w:pPr>
    </w:p>
    <w:p w:rsidR="3C6AEE47" w:rsidP="6E0B74AC" w:rsidRDefault="3C6AEE47" w14:paraId="07785551" w14:textId="274CD1C2">
      <w:pPr>
        <w:pStyle w:val="Heading3"/>
        <w:rPr>
          <w:rFonts w:ascii="Calibri" w:hAnsi="Calibri" w:eastAsia="Calibri" w:cs="Calibri"/>
          <w:b w:val="0"/>
          <w:bCs w:val="0"/>
          <w:noProof w:val="0"/>
          <w:sz w:val="22"/>
          <w:szCs w:val="22"/>
          <w:lang w:val="en-US"/>
        </w:rPr>
      </w:pPr>
      <w:r w:rsidRPr="6E0B74AC" w:rsidR="21975BB2">
        <w:rPr>
          <w:noProof w:val="0"/>
          <w:lang w:val="en-US"/>
        </w:rPr>
        <w:t>Intro</w:t>
      </w:r>
    </w:p>
    <w:p w:rsidR="3C6AEE47" w:rsidP="6E0B74AC" w:rsidRDefault="3C6AEE47" w14:paraId="2FFF35C0" w14:textId="7672B5EC">
      <w:pPr>
        <w:pStyle w:val="Normal"/>
        <w:rPr>
          <w:rFonts w:ascii="Calibri" w:hAnsi="Calibri" w:eastAsia="Calibri" w:cs="Calibri"/>
          <w:b w:val="0"/>
          <w:bCs w:val="0"/>
          <w:noProof w:val="0"/>
          <w:sz w:val="24"/>
          <w:szCs w:val="24"/>
          <w:lang w:val="en-US"/>
        </w:rPr>
      </w:pPr>
      <w:r w:rsidRPr="6E0B74AC" w:rsidR="3C6AEE47">
        <w:rPr>
          <w:noProof w:val="0"/>
          <w:sz w:val="24"/>
          <w:szCs w:val="24"/>
          <w:lang w:val="en-US"/>
        </w:rPr>
        <w:t xml:space="preserve">This document compares the </w:t>
      </w:r>
      <w:r w:rsidRPr="6E0B74AC" w:rsidR="3F971CEC">
        <w:rPr>
          <w:noProof w:val="0"/>
          <w:sz w:val="24"/>
          <w:szCs w:val="24"/>
          <w:lang w:val="en-US"/>
        </w:rPr>
        <w:t xml:space="preserve">proper </w:t>
      </w:r>
      <w:r w:rsidRPr="6E0B74AC" w:rsidR="6E446B5E">
        <w:rPr>
          <w:noProof w:val="0"/>
          <w:sz w:val="24"/>
          <w:szCs w:val="24"/>
          <w:lang w:val="en-US"/>
        </w:rPr>
        <w:t xml:space="preserve">naming </w:t>
      </w:r>
      <w:r w:rsidRPr="6E0B74AC" w:rsidR="3C6AEE47">
        <w:rPr>
          <w:noProof w:val="0"/>
          <w:sz w:val="24"/>
          <w:szCs w:val="24"/>
          <w:lang w:val="en-US"/>
        </w:rPr>
        <w:t xml:space="preserve">prescriptions </w:t>
      </w:r>
      <w:r w:rsidRPr="6E0B74AC" w:rsidR="7A6732EF">
        <w:rPr>
          <w:noProof w:val="0"/>
          <w:sz w:val="24"/>
          <w:szCs w:val="24"/>
          <w:lang w:val="en-US"/>
        </w:rPr>
        <w:t xml:space="preserve">of four style guides: The Chicago Manual of Style, The Buzzfeed News </w:t>
      </w:r>
      <w:r w:rsidRPr="6E0B74AC" w:rsidR="7A6732EF">
        <w:rPr>
          <w:noProof w:val="0"/>
          <w:sz w:val="24"/>
          <w:szCs w:val="24"/>
          <w:lang w:val="en-US"/>
        </w:rPr>
        <w:t>Style</w:t>
      </w:r>
      <w:r w:rsidRPr="6E0B74AC" w:rsidR="7A6732EF">
        <w:rPr>
          <w:noProof w:val="0"/>
          <w:sz w:val="24"/>
          <w:szCs w:val="24"/>
          <w:lang w:val="en-US"/>
        </w:rPr>
        <w:t xml:space="preserve"> Guide, and the IEEE Editorial Style Manual.</w:t>
      </w:r>
      <w:r w:rsidRPr="6E0B74AC" w:rsidR="77D56BB9">
        <w:rPr>
          <w:noProof w:val="0"/>
          <w:sz w:val="24"/>
          <w:szCs w:val="24"/>
          <w:lang w:val="en-US"/>
        </w:rPr>
        <w:t xml:space="preserve"> While the Chicago manual is considered the standard source of prescription for many, the others are focused and narrow in their application</w:t>
      </w:r>
      <w:r w:rsidRPr="6E0B74AC" w:rsidR="3C5CB52D">
        <w:rPr>
          <w:noProof w:val="0"/>
          <w:sz w:val="24"/>
          <w:szCs w:val="24"/>
          <w:lang w:val="en-US"/>
        </w:rPr>
        <w:t>. The IEEE and Microsoft guides are used in tech, with the IEEE guide more applicable to academia and the Microsoft guide more applicable to industry. The Buzzfeed guide focuses on style</w:t>
      </w:r>
      <w:r w:rsidRPr="6E0B74AC" w:rsidR="13938FAB">
        <w:rPr>
          <w:noProof w:val="0"/>
          <w:sz w:val="24"/>
          <w:szCs w:val="24"/>
          <w:lang w:val="en-US"/>
        </w:rPr>
        <w:t xml:space="preserve"> that applies to reporting and pop culture.</w:t>
      </w:r>
    </w:p>
    <w:p w:rsidR="21975BB2" w:rsidP="6E0B74AC" w:rsidRDefault="21975BB2" w14:paraId="124B71E2" w14:textId="7C9A2A6E">
      <w:pPr>
        <w:pStyle w:val="Normal"/>
        <w:rPr>
          <w:noProof w:val="0"/>
          <w:sz w:val="24"/>
          <w:szCs w:val="24"/>
          <w:lang w:val="en-US"/>
        </w:rPr>
      </w:pPr>
      <w:r w:rsidRPr="6E0B74AC" w:rsidR="21975BB2">
        <w:rPr>
          <w:noProof w:val="0"/>
          <w:sz w:val="24"/>
          <w:szCs w:val="24"/>
          <w:lang w:val="en-US"/>
        </w:rPr>
        <w:t xml:space="preserve">Specifically, this document discusses how IEEE, MSG, and BFG deviate from </w:t>
      </w:r>
      <w:r w:rsidRPr="6E0B74AC" w:rsidR="21975BB2">
        <w:rPr>
          <w:noProof w:val="0"/>
          <w:sz w:val="24"/>
          <w:szCs w:val="24"/>
          <w:lang w:val="en-US"/>
        </w:rPr>
        <w:t xml:space="preserve">or supplement </w:t>
      </w:r>
      <w:r w:rsidRPr="6E0B74AC" w:rsidR="21975BB2">
        <w:rPr>
          <w:noProof w:val="0"/>
          <w:sz w:val="24"/>
          <w:szCs w:val="24"/>
          <w:lang w:val="en-US"/>
        </w:rPr>
        <w:t>CMS. The rules in the Chicago manual are too extensive to discuss thoroughly. This document will also omit discussion of prescriptions for translated names because only CMS has rules for these cases.</w:t>
      </w:r>
    </w:p>
    <w:p w:rsidR="6E0B74AC" w:rsidP="6E0B74AC" w:rsidRDefault="6E0B74AC" w14:paraId="0523D3E0" w14:textId="7EF4E97C">
      <w:pPr>
        <w:pStyle w:val="Normal"/>
        <w:rPr>
          <w:rFonts w:ascii="Calibri" w:hAnsi="Calibri" w:eastAsia="Calibri" w:cs="Calibri"/>
          <w:b w:val="0"/>
          <w:bCs w:val="0"/>
          <w:noProof w:val="0"/>
          <w:sz w:val="22"/>
          <w:szCs w:val="22"/>
          <w:lang w:val="en-US"/>
        </w:rPr>
      </w:pPr>
    </w:p>
    <w:p w:rsidR="21975BB2" w:rsidP="6E0B74AC" w:rsidRDefault="21975BB2" w14:paraId="143DF09E" w14:textId="18A6655C">
      <w:pPr>
        <w:pStyle w:val="Normal"/>
        <w:rPr>
          <w:rFonts w:ascii="Calibri" w:hAnsi="Calibri" w:eastAsia="Calibri" w:cs="Calibri"/>
          <w:b w:val="0"/>
          <w:bCs w:val="0"/>
          <w:noProof w:val="0"/>
          <w:sz w:val="22"/>
          <w:szCs w:val="22"/>
          <w:lang w:val="en-US"/>
        </w:rPr>
      </w:pPr>
      <w:r w:rsidRPr="6E0B74AC" w:rsidR="21975BB2">
        <w:rPr>
          <w:rStyle w:val="Heading3Char"/>
          <w:noProof w:val="0"/>
          <w:lang w:val="en-US"/>
        </w:rPr>
        <w:t>Company and Institution Names</w:t>
      </w:r>
    </w:p>
    <w:p w:rsidR="21975BB2" w:rsidP="6E0B74AC" w:rsidRDefault="21975BB2" w14:paraId="076343FC" w14:textId="21553A46">
      <w:pPr>
        <w:pStyle w:val="Normal"/>
        <w:rPr>
          <w:noProof w:val="0"/>
          <w:sz w:val="24"/>
          <w:szCs w:val="24"/>
          <w:lang w:val="en-US"/>
        </w:rPr>
      </w:pPr>
      <w:r w:rsidRPr="6E0B74AC" w:rsidR="6E0B74AC">
        <w:rPr>
          <w:noProof w:val="0"/>
          <w:sz w:val="24"/>
          <w:szCs w:val="24"/>
          <w:lang w:val="en-US"/>
        </w:rPr>
        <w:t>IEEE says nothing of company or institution names and their use.</w:t>
      </w:r>
    </w:p>
    <w:p w:rsidR="21975BB2" w:rsidP="6E0B74AC" w:rsidRDefault="21975BB2" w14:paraId="1050B8D3" w14:textId="166881DA">
      <w:pPr>
        <w:pStyle w:val="Normal"/>
        <w:rPr>
          <w:noProof w:val="0"/>
          <w:sz w:val="24"/>
          <w:szCs w:val="24"/>
          <w:lang w:val="en-US"/>
        </w:rPr>
      </w:pPr>
      <w:r w:rsidRPr="6E0B74AC" w:rsidR="6E0B74AC">
        <w:rPr>
          <w:noProof w:val="0"/>
          <w:sz w:val="24"/>
          <w:szCs w:val="24"/>
          <w:lang w:val="en-US"/>
        </w:rPr>
        <w:t>MSG says nothing specifically about company or institution names. Its only applicable prescriptions are those for nouns and pronouns. These are all consistent with CMS.</w:t>
      </w:r>
    </w:p>
    <w:p w:rsidR="21975BB2" w:rsidP="6E0B74AC" w:rsidRDefault="21975BB2" w14:paraId="3A023D04" w14:textId="7516CAF5">
      <w:pPr>
        <w:pStyle w:val="Normal"/>
        <w:bidi w:val="0"/>
        <w:spacing w:before="0" w:beforeAutospacing="off" w:after="160" w:afterAutospacing="off" w:line="259" w:lineRule="auto"/>
        <w:ind w:left="0" w:right="0"/>
        <w:jc w:val="left"/>
        <w:rPr>
          <w:noProof w:val="0"/>
          <w:sz w:val="24"/>
          <w:szCs w:val="24"/>
          <w:lang w:val="en-US"/>
        </w:rPr>
      </w:pPr>
      <w:r w:rsidRPr="6E0B74AC" w:rsidR="6E0B74AC">
        <w:rPr>
          <w:noProof w:val="0"/>
          <w:sz w:val="24"/>
          <w:szCs w:val="24"/>
          <w:lang w:val="en-US"/>
        </w:rPr>
        <w:t>Of the three guides aside from CSM, BFG makes the most prescriptions for company and institutions names.</w:t>
      </w:r>
    </w:p>
    <w:p w:rsidR="21975BB2" w:rsidP="6E0B74AC" w:rsidRDefault="21975BB2" w14:paraId="2A8D927C" w14:textId="1A644985">
      <w:pPr>
        <w:pStyle w:val="Normal"/>
        <w:bidi w:val="0"/>
        <w:spacing w:before="0" w:beforeAutospacing="off" w:after="160" w:afterAutospacing="off" w:line="259" w:lineRule="auto"/>
        <w:ind w:left="0" w:right="0"/>
        <w:jc w:val="left"/>
        <w:rPr>
          <w:noProof w:val="0"/>
          <w:sz w:val="24"/>
          <w:szCs w:val="24"/>
          <w:lang w:val="en-US"/>
        </w:rPr>
      </w:pPr>
      <w:r w:rsidRPr="6E0B74AC" w:rsidR="6E0B74AC">
        <w:rPr>
          <w:noProof w:val="0"/>
          <w:sz w:val="24"/>
          <w:szCs w:val="24"/>
          <w:lang w:val="en-US"/>
        </w:rPr>
        <w:t xml:space="preserve">BFG tells writers to use “it”, rather than “they”, as company and institution pronouns. MSG agrees with this through its pronoun rules. CSM has no direct rule for this pertaining directly to company and </w:t>
      </w:r>
      <w:r w:rsidRPr="6E0B74AC" w:rsidR="6E0B74AC">
        <w:rPr>
          <w:noProof w:val="0"/>
          <w:sz w:val="24"/>
          <w:szCs w:val="24"/>
          <w:lang w:val="en-US"/>
        </w:rPr>
        <w:t>institution</w:t>
      </w:r>
      <w:r w:rsidRPr="6E0B74AC" w:rsidR="6E0B74AC">
        <w:rPr>
          <w:noProof w:val="0"/>
          <w:sz w:val="24"/>
          <w:szCs w:val="24"/>
          <w:lang w:val="en-US"/>
        </w:rPr>
        <w:t xml:space="preserve"> names.</w:t>
      </w:r>
    </w:p>
    <w:p w:rsidR="21975BB2" w:rsidP="6E0B74AC" w:rsidRDefault="21975BB2" w14:paraId="30D8C06C" w14:textId="74B454E2">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4"/>
          <w:szCs w:val="24"/>
          <w:lang w:val="en-US"/>
        </w:rPr>
      </w:pPr>
      <w:r w:rsidRPr="6E0B74AC" w:rsidR="6E0B74AC">
        <w:rPr>
          <w:noProof w:val="0"/>
          <w:sz w:val="24"/>
          <w:szCs w:val="24"/>
          <w:lang w:val="en-US"/>
        </w:rPr>
        <w:t>Best Buy announced Monday that it would lay off 1,000 employees.</w:t>
      </w:r>
    </w:p>
    <w:p w:rsidR="21975BB2" w:rsidP="6E0B74AC" w:rsidRDefault="21975BB2" w14:paraId="44807CE2" w14:textId="7CF6FC62">
      <w:pPr>
        <w:pStyle w:val="Normal"/>
        <w:bidi w:val="0"/>
        <w:spacing w:before="0" w:beforeAutospacing="off" w:after="160" w:afterAutospacing="off" w:line="259" w:lineRule="auto"/>
        <w:ind w:left="0" w:right="0"/>
        <w:jc w:val="left"/>
        <w:rPr>
          <w:noProof w:val="0"/>
          <w:sz w:val="24"/>
          <w:szCs w:val="24"/>
          <w:lang w:val="en-US"/>
        </w:rPr>
      </w:pPr>
      <w:r w:rsidRPr="6E0B74AC" w:rsidR="6E0B74AC">
        <w:rPr>
          <w:noProof w:val="0"/>
          <w:sz w:val="24"/>
          <w:szCs w:val="24"/>
          <w:lang w:val="en-US"/>
        </w:rPr>
        <w:t>BFG tells writers to use a lowercase “t” in “the” when it appears before a company or institution name, even when "the" is part of the name. A capital “T” should be used if it is the first letter in the sentence. CSM agrees.</w:t>
      </w:r>
    </w:p>
    <w:p w:rsidR="21975BB2" w:rsidP="6E0B74AC" w:rsidRDefault="21975BB2" w14:paraId="713ACF12" w14:textId="080AD37C">
      <w:pPr>
        <w:pStyle w:val="ListParagraph"/>
        <w:numPr>
          <w:ilvl w:val="0"/>
          <w:numId w:val="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4"/>
          <w:szCs w:val="24"/>
          <w:lang w:val="en-US"/>
        </w:rPr>
      </w:pPr>
      <w:r w:rsidRPr="6E0B74AC" w:rsidR="6E0B74AC">
        <w:rPr>
          <w:noProof w:val="0"/>
          <w:sz w:val="24"/>
          <w:szCs w:val="24"/>
          <w:lang w:val="en-US"/>
        </w:rPr>
        <w:t xml:space="preserve">Where do you buy the New York </w:t>
      </w:r>
      <w:r w:rsidRPr="6E0B74AC" w:rsidR="6E0B74AC">
        <w:rPr>
          <w:noProof w:val="0"/>
          <w:sz w:val="24"/>
          <w:szCs w:val="24"/>
          <w:lang w:val="en-US"/>
        </w:rPr>
        <w:t>Times?</w:t>
      </w:r>
    </w:p>
    <w:p w:rsidR="21975BB2" w:rsidP="6E0B74AC" w:rsidRDefault="21975BB2" w14:paraId="77F8F1A1" w14:textId="2D8005F6">
      <w:pPr>
        <w:pStyle w:val="ListParagraph"/>
        <w:numPr>
          <w:ilvl w:val="0"/>
          <w:numId w:val="5"/>
        </w:numPr>
        <w:bidi w:val="0"/>
        <w:spacing w:before="0" w:beforeAutospacing="off" w:after="160" w:afterAutospacing="off" w:line="259" w:lineRule="auto"/>
        <w:ind w:right="0"/>
        <w:jc w:val="left"/>
        <w:rPr>
          <w:noProof w:val="0"/>
          <w:sz w:val="24"/>
          <w:szCs w:val="24"/>
          <w:lang w:val="en-US"/>
        </w:rPr>
      </w:pPr>
      <w:r w:rsidRPr="6E0B74AC" w:rsidR="6E0B74AC">
        <w:rPr>
          <w:noProof w:val="0"/>
          <w:sz w:val="24"/>
          <w:szCs w:val="24"/>
          <w:lang w:val="en-US"/>
        </w:rPr>
        <w:t>The New York Times is lame.</w:t>
      </w:r>
    </w:p>
    <w:p w:rsidR="21975BB2" w:rsidP="6E0B74AC" w:rsidRDefault="21975BB2" w14:paraId="6106075C" w14:textId="2DFD5142">
      <w:pPr>
        <w:pStyle w:val="Normal"/>
        <w:bidi w:val="0"/>
        <w:spacing w:before="0" w:beforeAutospacing="off" w:after="160" w:afterAutospacing="off" w:line="259" w:lineRule="auto"/>
        <w:ind w:left="0" w:right="0"/>
        <w:jc w:val="left"/>
        <w:rPr>
          <w:noProof w:val="0"/>
          <w:sz w:val="24"/>
          <w:szCs w:val="24"/>
          <w:lang w:val="en-US"/>
        </w:rPr>
      </w:pPr>
      <w:r w:rsidRPr="6E0B74AC" w:rsidR="6E0B74AC">
        <w:rPr>
          <w:noProof w:val="0"/>
          <w:sz w:val="24"/>
          <w:szCs w:val="24"/>
          <w:lang w:val="en-US"/>
        </w:rPr>
        <w:t xml:space="preserve">BFG tells writers to omit words and abbreviations such as “Co.”, “Ltd.”, etc., from company names. CMS tells writers to omit these words from bibliography </w:t>
      </w:r>
      <w:r w:rsidRPr="6E0B74AC" w:rsidR="6E0B74AC">
        <w:rPr>
          <w:noProof w:val="0"/>
          <w:sz w:val="24"/>
          <w:szCs w:val="24"/>
          <w:lang w:val="en-US"/>
        </w:rPr>
        <w:t>entries but</w:t>
      </w:r>
      <w:r w:rsidRPr="6E0B74AC" w:rsidR="6E0B74AC">
        <w:rPr>
          <w:noProof w:val="0"/>
          <w:sz w:val="24"/>
          <w:szCs w:val="24"/>
          <w:lang w:val="en-US"/>
        </w:rPr>
        <w:t xml:space="preserve"> says </w:t>
      </w:r>
      <w:r w:rsidRPr="6E0B74AC" w:rsidR="6E0B74AC">
        <w:rPr>
          <w:noProof w:val="0"/>
          <w:sz w:val="24"/>
          <w:szCs w:val="24"/>
          <w:lang w:val="en-US"/>
        </w:rPr>
        <w:t>nothing of</w:t>
      </w:r>
      <w:r w:rsidRPr="6E0B74AC" w:rsidR="6E0B74AC">
        <w:rPr>
          <w:noProof w:val="0"/>
          <w:sz w:val="24"/>
          <w:szCs w:val="24"/>
          <w:lang w:val="en-US"/>
        </w:rPr>
        <w:t xml:space="preserve"> their use in text.</w:t>
      </w:r>
    </w:p>
    <w:p w:rsidR="21975BB2" w:rsidP="6E0B74AC" w:rsidRDefault="21975BB2" w14:paraId="2BBC5D0D" w14:textId="113549D8">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4"/>
          <w:szCs w:val="24"/>
          <w:lang w:val="en-US"/>
        </w:rPr>
      </w:pPr>
      <w:r w:rsidRPr="6E0B74AC" w:rsidR="6E0B74AC">
        <w:rPr>
          <w:noProof w:val="0"/>
          <w:sz w:val="24"/>
          <w:szCs w:val="24"/>
          <w:lang w:val="en-US"/>
        </w:rPr>
        <w:t>JPMorgan Chase</w:t>
      </w:r>
      <w:r w:rsidRPr="6E0B74AC" w:rsidR="6E0B74AC">
        <w:rPr>
          <w:noProof w:val="0"/>
          <w:sz w:val="24"/>
          <w:szCs w:val="24"/>
          <w:lang w:val="en-US"/>
        </w:rPr>
        <w:t xml:space="preserve"> is a financial firm.</w:t>
      </w:r>
    </w:p>
    <w:p w:rsidR="21975BB2" w:rsidP="6E0B74AC" w:rsidRDefault="21975BB2" w14:paraId="2D1BDFFD" w14:textId="729FF1BF">
      <w:pPr>
        <w:pStyle w:val="ListParagraph"/>
        <w:numPr>
          <w:ilvl w:val="1"/>
          <w:numId w:val="6"/>
        </w:numPr>
        <w:bidi w:val="0"/>
        <w:spacing w:before="0" w:beforeAutospacing="off" w:after="160" w:afterAutospacing="off" w:line="259" w:lineRule="auto"/>
        <w:ind w:right="0"/>
        <w:jc w:val="left"/>
        <w:rPr>
          <w:noProof w:val="0"/>
          <w:sz w:val="24"/>
          <w:szCs w:val="24"/>
          <w:lang w:val="en-US"/>
        </w:rPr>
      </w:pPr>
      <w:r w:rsidRPr="45F7C120" w:rsidR="6E0B74AC">
        <w:rPr>
          <w:noProof w:val="0"/>
          <w:sz w:val="24"/>
          <w:szCs w:val="24"/>
          <w:lang w:val="en-US"/>
        </w:rPr>
        <w:t>In this example, “&amp; Co.” was omitted from “JPMorgan Chase &amp; Co.”</w:t>
      </w:r>
    </w:p>
    <w:p w:rsidR="21975BB2" w:rsidP="6E0B74AC" w:rsidRDefault="21975BB2" w14:paraId="353E575F" w14:textId="7B955D36">
      <w:pPr>
        <w:pStyle w:val="Normal"/>
        <w:bidi w:val="0"/>
        <w:spacing w:before="0" w:beforeAutospacing="off" w:after="160" w:afterAutospacing="off" w:line="259" w:lineRule="auto"/>
        <w:ind w:left="0" w:right="0"/>
        <w:jc w:val="left"/>
        <w:rPr>
          <w:noProof w:val="0"/>
          <w:sz w:val="24"/>
          <w:szCs w:val="24"/>
          <w:lang w:val="en-US"/>
        </w:rPr>
      </w:pPr>
      <w:r w:rsidRPr="6E0B74AC" w:rsidR="6E0B74AC">
        <w:rPr>
          <w:noProof w:val="0"/>
          <w:sz w:val="24"/>
          <w:szCs w:val="24"/>
          <w:lang w:val="en-US"/>
        </w:rPr>
        <w:t>BFG tells writers to use an apostrophe without a following “s” when forming possessive company or institution names. CMS 7.17</w:t>
      </w:r>
    </w:p>
    <w:p w:rsidR="21975BB2" w:rsidP="6E0B74AC" w:rsidRDefault="21975BB2" w14:paraId="1B952FA7" w14:textId="52F31CC8">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4"/>
          <w:szCs w:val="24"/>
          <w:lang w:val="en-US"/>
        </w:rPr>
      </w:pPr>
      <w:r w:rsidRPr="6E0B74AC" w:rsidR="6E0B74AC">
        <w:rPr>
          <w:noProof w:val="0"/>
          <w:sz w:val="24"/>
          <w:szCs w:val="24"/>
          <w:lang w:val="en-US"/>
        </w:rPr>
        <w:t>General Motors’ employees should unionize.</w:t>
      </w:r>
    </w:p>
    <w:p w:rsidR="21975BB2" w:rsidP="6E0B74AC" w:rsidRDefault="21975BB2" w14:paraId="34683155" w14:textId="539FD198">
      <w:pPr>
        <w:pStyle w:val="Normal"/>
        <w:bidi w:val="0"/>
        <w:spacing w:before="0" w:beforeAutospacing="off" w:after="160" w:afterAutospacing="off" w:line="259" w:lineRule="auto"/>
        <w:ind w:left="0" w:right="0"/>
        <w:jc w:val="left"/>
        <w:rPr>
          <w:noProof w:val="0"/>
          <w:sz w:val="24"/>
          <w:szCs w:val="24"/>
          <w:lang w:val="en-US"/>
        </w:rPr>
      </w:pPr>
      <w:r w:rsidRPr="6E0B74AC" w:rsidR="6E0B74AC">
        <w:rPr>
          <w:noProof w:val="0"/>
          <w:sz w:val="24"/>
          <w:szCs w:val="24"/>
          <w:lang w:val="en-US"/>
        </w:rPr>
        <w:t>BFG tells writers to fully spell the name of universities when they first appear in the text and then gives permission to abbreviate subsequent appearances</w:t>
      </w:r>
    </w:p>
    <w:p w:rsidR="6E0B74AC" w:rsidP="6E0B74AC" w:rsidRDefault="6E0B74AC" w14:paraId="133A20F5" w14:textId="73730FEE">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4"/>
          <w:szCs w:val="24"/>
          <w:lang w:val="en-US"/>
        </w:rPr>
      </w:pPr>
      <w:r w:rsidRPr="6E0B74AC" w:rsidR="6E0B74AC">
        <w:rPr>
          <w:noProof w:val="0"/>
          <w:sz w:val="24"/>
          <w:szCs w:val="24"/>
          <w:lang w:val="en-US"/>
        </w:rPr>
        <w:t>The University of California Berkeley is an expensive school, but lots of people want “UC Berkeley” on their resume.</w:t>
      </w:r>
    </w:p>
    <w:p w:rsidR="6E0B74AC" w:rsidP="6E0B74AC" w:rsidRDefault="6E0B74AC" w14:paraId="59AF7E63" w14:textId="0873653B">
      <w:pPr>
        <w:pStyle w:val="Normal"/>
        <w:bidi w:val="0"/>
        <w:spacing w:before="0" w:beforeAutospacing="off" w:after="160" w:afterAutospacing="off" w:line="259" w:lineRule="auto"/>
        <w:ind w:left="0" w:right="0"/>
        <w:jc w:val="left"/>
        <w:rPr>
          <w:noProof w:val="0"/>
          <w:sz w:val="24"/>
          <w:szCs w:val="24"/>
          <w:lang w:val="en-US"/>
        </w:rPr>
      </w:pPr>
      <w:r w:rsidRPr="6E0B74AC" w:rsidR="6E0B74AC">
        <w:rPr>
          <w:noProof w:val="0"/>
          <w:sz w:val="24"/>
          <w:szCs w:val="24"/>
          <w:lang w:val="en-US"/>
        </w:rPr>
        <w:t>BFG also gives writers a list of frequently used company and institution names to copy and paste, enabling writers to be totally consistent with these names.</w:t>
      </w:r>
    </w:p>
    <w:p w:rsidR="6E0B74AC" w:rsidP="6E0B74AC" w:rsidRDefault="6E0B74AC" w14:paraId="73B95B14" w14:textId="1F5F58BA">
      <w:pPr>
        <w:pStyle w:val="Normal"/>
        <w:bidi w:val="0"/>
        <w:spacing w:before="0" w:beforeAutospacing="off" w:after="160" w:afterAutospacing="off" w:line="259" w:lineRule="auto"/>
        <w:ind w:left="0" w:right="0"/>
        <w:jc w:val="left"/>
        <w:rPr>
          <w:noProof w:val="0"/>
          <w:lang w:val="en-US"/>
        </w:rPr>
      </w:pPr>
    </w:p>
    <w:p w:rsidR="21975BB2" w:rsidP="6E0B74AC" w:rsidRDefault="21975BB2" w14:paraId="3FD803D8" w14:textId="0A8A678B">
      <w:pPr>
        <w:pStyle w:val="Heading3"/>
        <w:rPr>
          <w:rFonts w:ascii="Calibri" w:hAnsi="Calibri" w:eastAsia="Calibri" w:cs="Calibri"/>
          <w:b w:val="0"/>
          <w:bCs w:val="0"/>
          <w:noProof w:val="0"/>
          <w:sz w:val="22"/>
          <w:szCs w:val="22"/>
          <w:lang w:val="en-US"/>
        </w:rPr>
      </w:pPr>
      <w:r w:rsidRPr="6E0B74AC" w:rsidR="21975BB2">
        <w:rPr>
          <w:noProof w:val="0"/>
          <w:lang w:val="en-US"/>
        </w:rPr>
        <w:t>Conference Titles</w:t>
      </w:r>
    </w:p>
    <w:p w:rsidR="21975BB2" w:rsidP="6E0B74AC" w:rsidRDefault="21975BB2" w14:paraId="711F60C6" w14:textId="1F1D1F6A">
      <w:pPr>
        <w:pStyle w:val="Normal"/>
        <w:rPr>
          <w:noProof w:val="0"/>
          <w:sz w:val="24"/>
          <w:szCs w:val="24"/>
          <w:lang w:val="en-US"/>
        </w:rPr>
      </w:pPr>
      <w:r w:rsidRPr="6E0B74AC" w:rsidR="21975BB2">
        <w:rPr>
          <w:noProof w:val="0"/>
          <w:sz w:val="24"/>
          <w:szCs w:val="24"/>
          <w:lang w:val="en-US"/>
        </w:rPr>
        <w:t>BFG and MSG say nothing of conference titles.</w:t>
      </w:r>
    </w:p>
    <w:p w:rsidR="21975BB2" w:rsidP="6E0B74AC" w:rsidRDefault="21975BB2" w14:paraId="22783C22" w14:textId="445EECBE">
      <w:pPr>
        <w:pStyle w:val="Normal"/>
        <w:rPr>
          <w:noProof w:val="0"/>
          <w:sz w:val="24"/>
          <w:szCs w:val="24"/>
          <w:lang w:val="en-US"/>
        </w:rPr>
      </w:pPr>
      <w:r w:rsidRPr="6E0B74AC" w:rsidR="21975BB2">
        <w:rPr>
          <w:noProof w:val="0"/>
          <w:sz w:val="24"/>
          <w:szCs w:val="24"/>
          <w:lang w:val="en-US"/>
        </w:rPr>
        <w:t>IEEE contains rules for citing conference papers and proceedings, but otherwise directs the reader to use CMS rules. CMS, though, doesn’t have any rules pertaining specifically to conference titles.</w:t>
      </w:r>
    </w:p>
    <w:p w:rsidR="21975BB2" w:rsidP="6E0B74AC" w:rsidRDefault="21975BB2" w14:paraId="363E3C39" w14:textId="081AB7BE">
      <w:pPr>
        <w:pStyle w:val="Normal"/>
        <w:rPr>
          <w:noProof w:val="0"/>
          <w:sz w:val="24"/>
          <w:szCs w:val="24"/>
          <w:lang w:val="en-US"/>
        </w:rPr>
      </w:pPr>
      <w:r w:rsidRPr="6E0B74AC" w:rsidR="21975BB2">
        <w:rPr>
          <w:noProof w:val="0"/>
          <w:sz w:val="24"/>
          <w:szCs w:val="24"/>
          <w:lang w:val="en-US"/>
        </w:rPr>
        <w:t xml:space="preserve">IEEE gives writers a list of words that should be abbreviated in citations of conferences and conference papers. It also tells writers to omit prepositions and articles. </w:t>
      </w:r>
    </w:p>
    <w:p w:rsidR="6E0B74AC" w:rsidP="6E0B74AC" w:rsidRDefault="6E0B74AC" w14:paraId="2ABC3DE9" w14:textId="1ED6ECF4">
      <w:pPr>
        <w:pStyle w:val="Normal"/>
        <w:rPr>
          <w:noProof w:val="0"/>
          <w:sz w:val="24"/>
          <w:szCs w:val="24"/>
          <w:lang w:val="en-US"/>
        </w:rPr>
      </w:pPr>
      <w:r w:rsidRPr="6E0B74AC" w:rsidR="6E0B74AC">
        <w:rPr>
          <w:noProof w:val="0"/>
          <w:sz w:val="24"/>
          <w:szCs w:val="24"/>
          <w:lang w:val="en-US"/>
        </w:rPr>
        <w:t>IEEE tells writers to format bibliography entries as follows.</w:t>
      </w:r>
    </w:p>
    <w:p w:rsidR="21975BB2" w:rsidP="6E0B74AC" w:rsidRDefault="21975BB2" w14:paraId="77B54AFA" w14:textId="065DC46E">
      <w:pPr>
        <w:pStyle w:val="ListParagraph"/>
        <w:numPr>
          <w:ilvl w:val="0"/>
          <w:numId w:val="3"/>
        </w:numPr>
        <w:rPr>
          <w:rFonts w:ascii="Calibri" w:hAnsi="Calibri" w:eastAsia="Calibri" w:cs="Calibri" w:asciiTheme="minorAscii" w:hAnsiTheme="minorAscii" w:eastAsiaTheme="minorAscii" w:cstheme="minorAscii"/>
          <w:b w:val="0"/>
          <w:bCs w:val="0"/>
          <w:noProof w:val="0"/>
          <w:sz w:val="24"/>
          <w:szCs w:val="24"/>
          <w:lang w:val="en-US"/>
        </w:rPr>
      </w:pPr>
      <w:r w:rsidRPr="6E0B74AC" w:rsidR="21975BB2">
        <w:rPr>
          <w:rFonts w:ascii="Calibri" w:hAnsi="Calibri" w:eastAsia="Calibri" w:cs="Calibri"/>
          <w:b w:val="0"/>
          <w:bCs w:val="0"/>
          <w:noProof w:val="0"/>
          <w:sz w:val="24"/>
          <w:szCs w:val="24"/>
          <w:lang w:val="en-US"/>
        </w:rPr>
        <w:t>Author</w:t>
      </w:r>
      <w:r w:rsidRPr="6E0B74AC" w:rsidR="21975BB2">
        <w:rPr>
          <w:rFonts w:ascii="Calibri" w:hAnsi="Calibri" w:eastAsia="Calibri" w:cs="Calibri"/>
          <w:b w:val="0"/>
          <w:bCs w:val="0"/>
          <w:noProof w:val="0"/>
          <w:sz w:val="24"/>
          <w:szCs w:val="24"/>
          <w:lang w:val="en-US"/>
        </w:rPr>
        <w:t>, “</w:t>
      </w:r>
      <w:r w:rsidRPr="6E0B74AC" w:rsidR="21975BB2">
        <w:rPr>
          <w:rFonts w:ascii="Calibri" w:hAnsi="Calibri" w:eastAsia="Calibri" w:cs="Calibri"/>
          <w:b w:val="0"/>
          <w:bCs w:val="0"/>
          <w:noProof w:val="0"/>
          <w:sz w:val="24"/>
          <w:szCs w:val="24"/>
          <w:lang w:val="en-US"/>
        </w:rPr>
        <w:t>Title</w:t>
      </w:r>
      <w:r w:rsidRPr="6E0B74AC" w:rsidR="21975BB2">
        <w:rPr>
          <w:rFonts w:ascii="Calibri" w:hAnsi="Calibri" w:eastAsia="Calibri" w:cs="Calibri"/>
          <w:b w:val="0"/>
          <w:bCs w:val="0"/>
          <w:noProof w:val="0"/>
          <w:sz w:val="24"/>
          <w:szCs w:val="24"/>
          <w:lang w:val="en-US"/>
        </w:rPr>
        <w:t xml:space="preserve"> of paper,” in </w:t>
      </w:r>
      <w:r w:rsidRPr="6E0B74AC" w:rsidR="21975BB2">
        <w:rPr>
          <w:rFonts w:ascii="Calibri" w:hAnsi="Calibri" w:eastAsia="Calibri" w:cs="Calibri"/>
          <w:b w:val="0"/>
          <w:bCs w:val="0"/>
          <w:i w:val="1"/>
          <w:iCs w:val="1"/>
          <w:noProof w:val="0"/>
          <w:sz w:val="24"/>
          <w:szCs w:val="24"/>
          <w:lang w:val="en-US"/>
        </w:rPr>
        <w:t>Unabbreviated Name of Conf.</w:t>
      </w:r>
      <w:r w:rsidRPr="6E0B74AC" w:rsidR="21975BB2">
        <w:rPr>
          <w:rFonts w:ascii="Calibri" w:hAnsi="Calibri" w:eastAsia="Calibri" w:cs="Calibri"/>
          <w:b w:val="0"/>
          <w:bCs w:val="0"/>
          <w:noProof w:val="0"/>
          <w:sz w:val="24"/>
          <w:szCs w:val="24"/>
          <w:lang w:val="en-US"/>
        </w:rPr>
        <w:t>, City of Conf, Abbrev. State, year, pp. xxx-xxx</w:t>
      </w:r>
    </w:p>
    <w:p w:rsidR="21975BB2" w:rsidP="6E0B74AC" w:rsidRDefault="21975BB2" w14:paraId="7457DAB6" w14:textId="4AE52DE9">
      <w:pPr>
        <w:pStyle w:val="ListParagraph"/>
        <w:numPr>
          <w:ilvl w:val="1"/>
          <w:numId w:val="3"/>
        </w:numPr>
        <w:rPr>
          <w:rFonts w:ascii="Calibri" w:hAnsi="Calibri" w:eastAsia="Calibri" w:cs="Calibri" w:asciiTheme="minorAscii" w:hAnsiTheme="minorAscii" w:eastAsiaTheme="minorAscii" w:cstheme="minorAscii"/>
          <w:b w:val="0"/>
          <w:bCs w:val="0"/>
          <w:noProof w:val="0"/>
          <w:sz w:val="24"/>
          <w:szCs w:val="24"/>
          <w:lang w:val="en-US"/>
        </w:rPr>
      </w:pPr>
      <w:r w:rsidRPr="6E0B74AC" w:rsidR="21975BB2">
        <w:rPr>
          <w:rFonts w:ascii="Calibri" w:hAnsi="Calibri" w:eastAsia="Calibri" w:cs="Calibri"/>
          <w:b w:val="0"/>
          <w:bCs w:val="0"/>
          <w:noProof w:val="0"/>
          <w:sz w:val="24"/>
          <w:szCs w:val="24"/>
          <w:lang w:val="en-US"/>
        </w:rPr>
        <w:t xml:space="preserve">G.R. Fau </w:t>
      </w:r>
      <w:proofErr w:type="spellStart"/>
      <w:r w:rsidRPr="6E0B74AC" w:rsidR="21975BB2">
        <w:rPr>
          <w:rFonts w:ascii="Calibri" w:hAnsi="Calibri" w:eastAsia="Calibri" w:cs="Calibri"/>
          <w:b w:val="0"/>
          <w:bCs w:val="0"/>
          <w:noProof w:val="0"/>
          <w:sz w:val="24"/>
          <w:szCs w:val="24"/>
          <w:lang w:val="en-US"/>
        </w:rPr>
        <w:t>Ilhaber</w:t>
      </w:r>
      <w:proofErr w:type="spellEnd"/>
      <w:r w:rsidRPr="6E0B74AC" w:rsidR="21975BB2">
        <w:rPr>
          <w:rFonts w:ascii="Calibri" w:hAnsi="Calibri" w:eastAsia="Calibri" w:cs="Calibri"/>
          <w:b w:val="0"/>
          <w:bCs w:val="0"/>
          <w:noProof w:val="0"/>
          <w:sz w:val="24"/>
          <w:szCs w:val="24"/>
          <w:lang w:val="en-US"/>
        </w:rPr>
        <w:t xml:space="preserve">, “Design of service Systems with priority reservations,” in </w:t>
      </w:r>
      <w:r w:rsidRPr="6E0B74AC" w:rsidR="21975BB2">
        <w:rPr>
          <w:rFonts w:ascii="Calibri" w:hAnsi="Calibri" w:eastAsia="Calibri" w:cs="Calibri"/>
          <w:b w:val="0"/>
          <w:bCs w:val="0"/>
          <w:i w:val="1"/>
          <w:iCs w:val="1"/>
          <w:noProof w:val="0"/>
          <w:sz w:val="24"/>
          <w:szCs w:val="24"/>
          <w:lang w:val="en-US"/>
        </w:rPr>
        <w:t>Conf. Rec. 1995 IEEE Int. Conf. Communications</w:t>
      </w:r>
      <w:r w:rsidRPr="6E0B74AC" w:rsidR="21975BB2">
        <w:rPr>
          <w:rFonts w:ascii="Calibri" w:hAnsi="Calibri" w:eastAsia="Calibri" w:cs="Calibri"/>
          <w:b w:val="0"/>
          <w:bCs w:val="0"/>
          <w:noProof w:val="0"/>
          <w:sz w:val="24"/>
          <w:szCs w:val="24"/>
          <w:lang w:val="en-US"/>
        </w:rPr>
        <w:t>, pp.3-8.</w:t>
      </w:r>
    </w:p>
    <w:p w:rsidR="6E0B74AC" w:rsidP="6E0B74AC" w:rsidRDefault="6E0B74AC" w14:paraId="0F9BF895" w14:textId="5DF7BE12">
      <w:pPr>
        <w:pStyle w:val="Normal"/>
        <w:rPr>
          <w:noProof w:val="0"/>
          <w:sz w:val="24"/>
          <w:szCs w:val="24"/>
          <w:lang w:val="en-US"/>
        </w:rPr>
      </w:pPr>
    </w:p>
    <w:p w:rsidR="29537146" w:rsidP="29537146" w:rsidRDefault="29537146" w14:paraId="3EA94E9E" w14:textId="16124D2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738692707" textId="2024214356" start="0" length="63" invalidationStart="0" invalidationLength="63" id="kWutFX0m"/>
  </int:Manifest>
  <int:Observations>
    <int:Content id="kWutFX0m">
      <int:Reviewed type="WordDesignerSuggestedImageAnnotation"/>
    </int:Content>
  </int:Observations>
</int:Intelligence>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813D5C"/>
    <w:rsid w:val="003C877B"/>
    <w:rsid w:val="009AE215"/>
    <w:rsid w:val="009EB2B0"/>
    <w:rsid w:val="00CA0954"/>
    <w:rsid w:val="017F5127"/>
    <w:rsid w:val="01D6483A"/>
    <w:rsid w:val="0245E387"/>
    <w:rsid w:val="02C4D87A"/>
    <w:rsid w:val="03177EC2"/>
    <w:rsid w:val="03E1B3E8"/>
    <w:rsid w:val="03F36FFB"/>
    <w:rsid w:val="0458ABD7"/>
    <w:rsid w:val="0496AC79"/>
    <w:rsid w:val="04B34F23"/>
    <w:rsid w:val="04E146C2"/>
    <w:rsid w:val="050DE8FC"/>
    <w:rsid w:val="0520F9CF"/>
    <w:rsid w:val="0531004D"/>
    <w:rsid w:val="061A00A4"/>
    <w:rsid w:val="061CD5BA"/>
    <w:rsid w:val="06B631BB"/>
    <w:rsid w:val="073843F2"/>
    <w:rsid w:val="07535A62"/>
    <w:rsid w:val="07B8A61B"/>
    <w:rsid w:val="084889AE"/>
    <w:rsid w:val="09745740"/>
    <w:rsid w:val="09EF0E1D"/>
    <w:rsid w:val="0A49D36A"/>
    <w:rsid w:val="0A8AFB24"/>
    <w:rsid w:val="0AB8676B"/>
    <w:rsid w:val="0B97E7AD"/>
    <w:rsid w:val="0BD73CE8"/>
    <w:rsid w:val="0C4A955F"/>
    <w:rsid w:val="0D124107"/>
    <w:rsid w:val="0D4EC3FA"/>
    <w:rsid w:val="0DA7AE1C"/>
    <w:rsid w:val="0E54F0B4"/>
    <w:rsid w:val="0EB3C7C6"/>
    <w:rsid w:val="0F326567"/>
    <w:rsid w:val="0F54CF98"/>
    <w:rsid w:val="1024452D"/>
    <w:rsid w:val="105C88F9"/>
    <w:rsid w:val="10EA8C09"/>
    <w:rsid w:val="111D4CB2"/>
    <w:rsid w:val="11466668"/>
    <w:rsid w:val="11ACD41E"/>
    <w:rsid w:val="11D05975"/>
    <w:rsid w:val="127109E5"/>
    <w:rsid w:val="129419C7"/>
    <w:rsid w:val="12C6794D"/>
    <w:rsid w:val="13938FAB"/>
    <w:rsid w:val="13B4DF6B"/>
    <w:rsid w:val="13B5010D"/>
    <w:rsid w:val="13F4637C"/>
    <w:rsid w:val="142EABA4"/>
    <w:rsid w:val="14558208"/>
    <w:rsid w:val="15B42583"/>
    <w:rsid w:val="15D2E2F5"/>
    <w:rsid w:val="167E4170"/>
    <w:rsid w:val="16869B94"/>
    <w:rsid w:val="16B2AD70"/>
    <w:rsid w:val="17921AF8"/>
    <w:rsid w:val="17D78C4C"/>
    <w:rsid w:val="17E2AA9D"/>
    <w:rsid w:val="183177D2"/>
    <w:rsid w:val="184E7DD1"/>
    <w:rsid w:val="18C28CD8"/>
    <w:rsid w:val="192DEB59"/>
    <w:rsid w:val="197287CC"/>
    <w:rsid w:val="19E7DBA5"/>
    <w:rsid w:val="1ABC2517"/>
    <w:rsid w:val="1B1A4B5F"/>
    <w:rsid w:val="1B37919A"/>
    <w:rsid w:val="1B536FDF"/>
    <w:rsid w:val="1B6B9B22"/>
    <w:rsid w:val="1B6B9B22"/>
    <w:rsid w:val="1B7132AB"/>
    <w:rsid w:val="1BF6AC5D"/>
    <w:rsid w:val="1C164BBC"/>
    <w:rsid w:val="1C57F578"/>
    <w:rsid w:val="1D0D030C"/>
    <w:rsid w:val="1E047710"/>
    <w:rsid w:val="1E5609FF"/>
    <w:rsid w:val="1EE345C3"/>
    <w:rsid w:val="1FC8A0F3"/>
    <w:rsid w:val="200417C0"/>
    <w:rsid w:val="2044A3CE"/>
    <w:rsid w:val="2065213E"/>
    <w:rsid w:val="20E2CE5C"/>
    <w:rsid w:val="210A144A"/>
    <w:rsid w:val="21975BB2"/>
    <w:rsid w:val="22F98983"/>
    <w:rsid w:val="23107CDD"/>
    <w:rsid w:val="2727CC6F"/>
    <w:rsid w:val="27AB341A"/>
    <w:rsid w:val="27B6E084"/>
    <w:rsid w:val="284A8BED"/>
    <w:rsid w:val="29537146"/>
    <w:rsid w:val="29FF66CC"/>
    <w:rsid w:val="2A08DF3A"/>
    <w:rsid w:val="2A36AEB9"/>
    <w:rsid w:val="2A535A3C"/>
    <w:rsid w:val="2BBC253F"/>
    <w:rsid w:val="2BD27F1A"/>
    <w:rsid w:val="2C4474C4"/>
    <w:rsid w:val="2D0595E0"/>
    <w:rsid w:val="2DB08E0E"/>
    <w:rsid w:val="2DC4205B"/>
    <w:rsid w:val="2F20185C"/>
    <w:rsid w:val="2F5FF0BC"/>
    <w:rsid w:val="2FED2C80"/>
    <w:rsid w:val="30CB5E7E"/>
    <w:rsid w:val="30D287B0"/>
    <w:rsid w:val="30FBC11D"/>
    <w:rsid w:val="319E8981"/>
    <w:rsid w:val="336AD701"/>
    <w:rsid w:val="33A4DCB9"/>
    <w:rsid w:val="343C723C"/>
    <w:rsid w:val="346A69DB"/>
    <w:rsid w:val="34D8D0EF"/>
    <w:rsid w:val="35610528"/>
    <w:rsid w:val="360B205C"/>
    <w:rsid w:val="36A277C3"/>
    <w:rsid w:val="36DC7D7B"/>
    <w:rsid w:val="37813D5C"/>
    <w:rsid w:val="37EC1CC2"/>
    <w:rsid w:val="389C17B6"/>
    <w:rsid w:val="3987ED23"/>
    <w:rsid w:val="39F93073"/>
    <w:rsid w:val="3A0103FF"/>
    <w:rsid w:val="3A141E3D"/>
    <w:rsid w:val="3B7CB6B7"/>
    <w:rsid w:val="3BD3B878"/>
    <w:rsid w:val="3C5CB52D"/>
    <w:rsid w:val="3C6AEE47"/>
    <w:rsid w:val="3CAE0B50"/>
    <w:rsid w:val="3D3D8551"/>
    <w:rsid w:val="3DF6B9E2"/>
    <w:rsid w:val="3DFFA312"/>
    <w:rsid w:val="3EADEF11"/>
    <w:rsid w:val="3F0B33FE"/>
    <w:rsid w:val="3F3A1A62"/>
    <w:rsid w:val="3F971CEC"/>
    <w:rsid w:val="3F9B7373"/>
    <w:rsid w:val="4073AF22"/>
    <w:rsid w:val="408E013E"/>
    <w:rsid w:val="412C7379"/>
    <w:rsid w:val="42065AEC"/>
    <w:rsid w:val="42192068"/>
    <w:rsid w:val="427A7077"/>
    <w:rsid w:val="427F99D8"/>
    <w:rsid w:val="42FF975A"/>
    <w:rsid w:val="43B66DFF"/>
    <w:rsid w:val="43D598FA"/>
    <w:rsid w:val="43D88037"/>
    <w:rsid w:val="449B67BB"/>
    <w:rsid w:val="449E6FA2"/>
    <w:rsid w:val="45340BD8"/>
    <w:rsid w:val="453D489C"/>
    <w:rsid w:val="455C2757"/>
    <w:rsid w:val="45F7C120"/>
    <w:rsid w:val="45FABC3E"/>
    <w:rsid w:val="48122B16"/>
    <w:rsid w:val="48C82A8B"/>
    <w:rsid w:val="48FDBAF4"/>
    <w:rsid w:val="4951A0E8"/>
    <w:rsid w:val="49CFC819"/>
    <w:rsid w:val="4A4185EE"/>
    <w:rsid w:val="4AA78C56"/>
    <w:rsid w:val="4B04DC9D"/>
    <w:rsid w:val="4C9E15EB"/>
    <w:rsid w:val="4D951949"/>
    <w:rsid w:val="4DA0C77A"/>
    <w:rsid w:val="4E0277A7"/>
    <w:rsid w:val="4E565C8F"/>
    <w:rsid w:val="4E6420F0"/>
    <w:rsid w:val="4F51C40C"/>
    <w:rsid w:val="4FD48AB6"/>
    <w:rsid w:val="503D9979"/>
    <w:rsid w:val="505C51E9"/>
    <w:rsid w:val="50A073F7"/>
    <w:rsid w:val="515C621D"/>
    <w:rsid w:val="5189FC13"/>
    <w:rsid w:val="51F8224A"/>
    <w:rsid w:val="53832BBC"/>
    <w:rsid w:val="541CDB0B"/>
    <w:rsid w:val="549D8535"/>
    <w:rsid w:val="54C4A6DA"/>
    <w:rsid w:val="54F4A749"/>
    <w:rsid w:val="557197C9"/>
    <w:rsid w:val="561A74AF"/>
    <w:rsid w:val="57D3D8BB"/>
    <w:rsid w:val="590932EC"/>
    <w:rsid w:val="5945446C"/>
    <w:rsid w:val="59657E54"/>
    <w:rsid w:val="597746A3"/>
    <w:rsid w:val="597F8CF9"/>
    <w:rsid w:val="5A1A3E49"/>
    <w:rsid w:val="5A749624"/>
    <w:rsid w:val="5AEDE5D2"/>
    <w:rsid w:val="5B3F5140"/>
    <w:rsid w:val="5C00000C"/>
    <w:rsid w:val="5C813CC8"/>
    <w:rsid w:val="5D173A7E"/>
    <w:rsid w:val="5D961CC4"/>
    <w:rsid w:val="5E17CA06"/>
    <w:rsid w:val="5F31ED25"/>
    <w:rsid w:val="5F6C4DB5"/>
    <w:rsid w:val="5F83DD52"/>
    <w:rsid w:val="5F8B0DC8"/>
    <w:rsid w:val="5F8D7CBB"/>
    <w:rsid w:val="6126DE29"/>
    <w:rsid w:val="62602C19"/>
    <w:rsid w:val="631F57A9"/>
    <w:rsid w:val="63A5FD53"/>
    <w:rsid w:val="63AB8D7F"/>
    <w:rsid w:val="64563756"/>
    <w:rsid w:val="6463FB66"/>
    <w:rsid w:val="6496984C"/>
    <w:rsid w:val="65E395E2"/>
    <w:rsid w:val="65F207B7"/>
    <w:rsid w:val="66071209"/>
    <w:rsid w:val="6644E7A4"/>
    <w:rsid w:val="66C15AA3"/>
    <w:rsid w:val="677F6643"/>
    <w:rsid w:val="6882E73D"/>
    <w:rsid w:val="68DD95C3"/>
    <w:rsid w:val="691B36A4"/>
    <w:rsid w:val="6986A7E1"/>
    <w:rsid w:val="69ADD16E"/>
    <w:rsid w:val="6A0468A7"/>
    <w:rsid w:val="6A465FA8"/>
    <w:rsid w:val="6A9AF866"/>
    <w:rsid w:val="6ADDEBE3"/>
    <w:rsid w:val="6B05D9D0"/>
    <w:rsid w:val="6C610A2C"/>
    <w:rsid w:val="6CE57230"/>
    <w:rsid w:val="6E0B74AC"/>
    <w:rsid w:val="6E446B5E"/>
    <w:rsid w:val="6EA0C3E2"/>
    <w:rsid w:val="6FC4C964"/>
    <w:rsid w:val="6FECC559"/>
    <w:rsid w:val="72FF5E83"/>
    <w:rsid w:val="73074C09"/>
    <w:rsid w:val="73ACB194"/>
    <w:rsid w:val="743A9A86"/>
    <w:rsid w:val="7535C4B0"/>
    <w:rsid w:val="759FD29F"/>
    <w:rsid w:val="75B2E372"/>
    <w:rsid w:val="763BBCEE"/>
    <w:rsid w:val="7686409F"/>
    <w:rsid w:val="76CF0D98"/>
    <w:rsid w:val="77AEDB24"/>
    <w:rsid w:val="77D56BB9"/>
    <w:rsid w:val="786ADDF9"/>
    <w:rsid w:val="78C77CC3"/>
    <w:rsid w:val="78EA8434"/>
    <w:rsid w:val="78EF9842"/>
    <w:rsid w:val="7980B47B"/>
    <w:rsid w:val="7A6732EF"/>
    <w:rsid w:val="7B3B6397"/>
    <w:rsid w:val="7BFEB8DE"/>
    <w:rsid w:val="7C59BB94"/>
    <w:rsid w:val="7D232BE0"/>
    <w:rsid w:val="7DA42AAA"/>
    <w:rsid w:val="7DADE474"/>
    <w:rsid w:val="7DCFE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3D5C"/>
  <w15:chartTrackingRefBased/>
  <w15:docId w15:val="{7B651543-3BFF-40F9-93D2-3114EBF6C2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a4f2010752b04867" /><Relationship Type="http://schemas.openxmlformats.org/officeDocument/2006/relationships/numbering" Target="numbering.xml" Id="Rf172f093903a4c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2022-02-11T00:24:52.3189999Z</dcterms:created>
  <dcterms:modified xsi:type="dcterms:W3CDTF">2022-03-01T04:56:01.2640654Z</dcterms:modified>
  <dc:creator>Rohlfing, Benjamin W</dc:creator>
  <lastModifiedBy>Rohlfing, Benjamin W</lastModifiedBy>
</coreProperties>
</file>