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9147AD">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9147AD">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9147AD">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9147AD">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9147AD">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9147AD">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9147AD">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9147AD">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9147AD">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9147AD">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9147AD">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9147AD">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9147AD">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9147AD">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9147AD">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9147AD">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7" w:name="_Toc81469021"/>
      <w:r>
        <w:lastRenderedPageBreak/>
        <w:t>API Gateway</w:t>
      </w:r>
      <w:bookmarkEnd w:id="17"/>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9147AD"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Logging für Requests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8" w:name="_Toc81469022"/>
      <w:r>
        <w:t>Service Discovery</w:t>
      </w:r>
      <w:bookmarkEnd w:id="18"/>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w:t>
      </w:r>
      <w:r w:rsidR="00C748AD">
        <w:lastRenderedPageBreak/>
        <w:t xml:space="preserve">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19" w:name="_Toc81469023"/>
      <w:r>
        <w:t>BUS</w:t>
      </w:r>
      <w:bookmarkEnd w:id="19"/>
    </w:p>
    <w:p w14:paraId="43404A1F" w14:textId="77777777" w:rsidR="00191264" w:rsidRPr="00191264" w:rsidRDefault="00191264" w:rsidP="00191264"/>
    <w:p w14:paraId="01674B60" w14:textId="39C4B872" w:rsidR="000B640B" w:rsidRDefault="000B640B" w:rsidP="000B640B">
      <w:pPr>
        <w:pStyle w:val="berschrift2"/>
      </w:pPr>
      <w:bookmarkStart w:id="20" w:name="_Toc81469024"/>
      <w:r>
        <w:t xml:space="preserve">Load </w:t>
      </w:r>
      <w:r w:rsidR="009110D0">
        <w:t>B</w:t>
      </w:r>
      <w:r>
        <w:t>alancer</w:t>
      </w:r>
      <w:bookmarkEnd w:id="20"/>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21" w:name="_Toc81469025"/>
      <w:r>
        <w:t>Buildpipeline</w:t>
      </w:r>
      <w:bookmarkEnd w:id="21"/>
    </w:p>
    <w:p w14:paraId="323B31A8" w14:textId="76ACCB83" w:rsidR="00624D45" w:rsidRPr="00624D45" w:rsidRDefault="00F84B51" w:rsidP="00624D45">
      <w:pPr>
        <w:pStyle w:val="berschrift2"/>
      </w:pPr>
      <w:bookmarkStart w:id="22" w:name="_Toc81469026"/>
      <w:r>
        <w:t>JSON Webtoken</w:t>
      </w:r>
      <w:bookmarkEnd w:id="22"/>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3" w:name="_Toc81469027"/>
      <w:r>
        <w:lastRenderedPageBreak/>
        <w:t>Anforderun</w:t>
      </w:r>
      <w:r w:rsidR="00D30B36">
        <w:t>gsanalyse</w:t>
      </w:r>
      <w:bookmarkEnd w:id="23"/>
    </w:p>
    <w:p w14:paraId="281DF7AA" w14:textId="24042D9E" w:rsidR="00F234A6" w:rsidRDefault="00F234A6" w:rsidP="00F234A6">
      <w:pPr>
        <w:pStyle w:val="berschrift2"/>
      </w:pPr>
      <w:bookmarkStart w:id="24" w:name="_Toc81469028"/>
      <w:r>
        <w:t>Aufgabenstellung</w:t>
      </w:r>
      <w:bookmarkEnd w:id="24"/>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5" w:name="_Toc81469029"/>
      <w:r>
        <w:lastRenderedPageBreak/>
        <w:t>Qualitäts</w:t>
      </w:r>
      <w:r w:rsidR="00CE26C3">
        <w:t>ziele</w:t>
      </w:r>
      <w:bookmarkEnd w:id="25"/>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6" w:name="_Toc81469030"/>
      <w:r>
        <w:lastRenderedPageBreak/>
        <w:t>Stakeholder</w:t>
      </w:r>
      <w:bookmarkEnd w:id="26"/>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7" w:name="_Toc81469031"/>
      <w:r>
        <w:t>Konzepte</w:t>
      </w:r>
      <w:bookmarkEnd w:id="27"/>
    </w:p>
    <w:p w14:paraId="4C0855C6" w14:textId="043BE686" w:rsidR="008467F8" w:rsidRDefault="008467F8" w:rsidP="008467F8"/>
    <w:p w14:paraId="653CBBE4" w14:textId="77777777" w:rsidR="008467F8" w:rsidRDefault="008467F8" w:rsidP="006B3933">
      <w:pPr>
        <w:pStyle w:val="berschrift2"/>
      </w:pPr>
      <w:bookmarkStart w:id="28" w:name="_Toc81469032"/>
      <w:r>
        <w:t>DDD</w:t>
      </w:r>
      <w:bookmarkEnd w:id="28"/>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9147AD"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29" w:name="_Toc81469033"/>
      <w:r>
        <w:t>Autorisierung und Authentifizierung</w:t>
      </w:r>
      <w:bookmarkEnd w:id="29"/>
    </w:p>
    <w:p w14:paraId="313056DD" w14:textId="77777777" w:rsidR="008467F8" w:rsidRDefault="008467F8" w:rsidP="008467F8">
      <w:r>
        <w:t>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0" w:name="_Toc81469034"/>
      <w:r>
        <w:t>User Interface</w:t>
      </w:r>
      <w:bookmarkEnd w:id="30"/>
    </w:p>
    <w:p w14:paraId="1FC549FB" w14:textId="77777777" w:rsidR="008467F8" w:rsidRPr="00942D3B" w:rsidRDefault="008467F8" w:rsidP="008467F8"/>
    <w:p w14:paraId="6EB3D715" w14:textId="77777777" w:rsidR="008467F8" w:rsidRDefault="008467F8" w:rsidP="006B3933">
      <w:pPr>
        <w:pStyle w:val="berschrift3"/>
      </w:pPr>
      <w:bookmarkStart w:id="31" w:name="_Toc81469035"/>
      <w:r>
        <w:t>Frontend Monolith</w:t>
      </w:r>
      <w:bookmarkEnd w:id="31"/>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2" w:name="_Toc81469036"/>
      <w:r>
        <w:t>Modularisiertes Frontend</w:t>
      </w:r>
      <w:bookmarkEnd w:id="32"/>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7777777" w:rsidR="00792616" w:rsidRDefault="00792616" w:rsidP="00CE26C3"/>
    <w:p w14:paraId="1D6E5AA1" w14:textId="77777777" w:rsidR="008467F8" w:rsidRDefault="008467F8" w:rsidP="006B3933">
      <w:pPr>
        <w:pStyle w:val="berschrift2"/>
      </w:pPr>
      <w:bookmarkStart w:id="33" w:name="_Toc81469039"/>
      <w:r>
        <w:t>Deployment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t>
      </w:r>
      <w:r>
        <w:lastRenderedPageBreak/>
        <w:t xml:space="preserve">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34" w:name="_Toc81469040"/>
      <w:r>
        <w:t>Microservice Framework VS Containermanager</w:t>
      </w:r>
      <w:bookmarkEnd w:id="34"/>
    </w:p>
    <w:p w14:paraId="7E3A684D" w14:textId="3228003E" w:rsidR="008467F8" w:rsidRPr="00CE26C3" w:rsidRDefault="009147AD"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81469041"/>
      <w:r>
        <w:lastRenderedPageBreak/>
        <w:t>Architektur</w:t>
      </w:r>
      <w:r w:rsidR="00B43D17">
        <w:t>entwurf</w:t>
      </w:r>
      <w:bookmarkEnd w:id="35"/>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81469042"/>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37" w:name="_Toc81469043"/>
      <w:r>
        <w:t>Zusammenspiel API Gateway, Service Discovery, Service Mesh</w:t>
      </w:r>
      <w:bookmarkEnd w:id="37"/>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8" w:name="_Toc81469044"/>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81469045"/>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9147AD" w:rsidP="00FE29C1">
      <w:hyperlink r:id="rId27" w:history="1">
        <w:r w:rsidR="006201FD" w:rsidRPr="004E7724">
          <w:rPr>
            <w:rStyle w:val="Hyperlink"/>
          </w:rPr>
          <w:t>https://www.graylog.org</w:t>
        </w:r>
      </w:hyperlink>
    </w:p>
    <w:p w14:paraId="2B153ED5" w14:textId="66FFCB6E" w:rsidR="006201FD" w:rsidRDefault="006201FD" w:rsidP="00FE29C1"/>
    <w:p w14:paraId="7E2C2894" w14:textId="16DF1C0E" w:rsidR="006201FD" w:rsidRDefault="009147AD" w:rsidP="00FE29C1">
      <w:hyperlink r:id="rId28"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40" w:name="_Toc81469046"/>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81469047"/>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81469048"/>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81469049"/>
      <w:r>
        <w:t>Querschnittliche Konzepte</w:t>
      </w:r>
      <w:bookmarkEnd w:id="43"/>
    </w:p>
    <w:p w14:paraId="7BD13F32" w14:textId="38204B1C" w:rsidR="00CC7F27" w:rsidRDefault="00222014" w:rsidP="00222014">
      <w:pPr>
        <w:pStyle w:val="berschrift3"/>
      </w:pPr>
      <w:bookmarkStart w:id="44" w:name="_Toc81469050"/>
      <w:r>
        <w:t>D</w:t>
      </w:r>
      <w:r w:rsidR="00CC7F27">
        <w:t>omainmodell</w:t>
      </w:r>
      <w:bookmarkEnd w:id="44"/>
    </w:p>
    <w:p w14:paraId="49EE3728" w14:textId="66230657" w:rsidR="00222014" w:rsidRDefault="00222014" w:rsidP="00222014">
      <w:pPr>
        <w:pStyle w:val="berschrift3"/>
      </w:pPr>
      <w:bookmarkStart w:id="45" w:name="_Toc81469051"/>
      <w:r>
        <w:t>Testverfahren</w:t>
      </w:r>
      <w:bookmarkEnd w:id="45"/>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9147AD" w:rsidP="000B640B">
      <w:hyperlink r:id="rId29" w:history="1">
        <w:r w:rsidR="00ED3047">
          <w:rPr>
            <w:rStyle w:val="Hyperlink"/>
          </w:rPr>
          <w:t>Keycloak</w:t>
        </w:r>
      </w:hyperlink>
    </w:p>
    <w:p w14:paraId="115A337D" w14:textId="5D4C2208" w:rsidR="000B640B" w:rsidRDefault="000B640B" w:rsidP="000B640B">
      <w:pPr>
        <w:pStyle w:val="berschrift1"/>
      </w:pPr>
      <w:bookmarkStart w:id="46" w:name="_Toc81469052"/>
      <w:r>
        <w:t>Implementierung</w:t>
      </w:r>
      <w:bookmarkEnd w:id="46"/>
    </w:p>
    <w:p w14:paraId="4CC2653F" w14:textId="0FDA3D55" w:rsidR="00CF2FA0" w:rsidRDefault="00CF2FA0" w:rsidP="00CF2FA0"/>
    <w:p w14:paraId="426F8E91" w14:textId="797FFDAD" w:rsidR="00CF2FA0" w:rsidRPr="00CF2FA0" w:rsidRDefault="00CF2FA0" w:rsidP="00CF2FA0">
      <w:pPr>
        <w:pStyle w:val="berschrift2"/>
      </w:pPr>
      <w:r>
        <w:t>Springboot Abhängigkeitsverwaltung mit Maven</w:t>
      </w:r>
    </w:p>
    <w:p w14:paraId="24802AC2" w14:textId="10A6B20A" w:rsidR="004B2D5C" w:rsidRDefault="004B2D5C" w:rsidP="004B2D5C">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0" w:history="1">
        <w:r w:rsidR="00A77E6C" w:rsidRPr="005F39E5">
          <w:rPr>
            <w:rStyle w:val="Hyperlink"/>
          </w:rPr>
          <w:t>https://spring.io/guides/gs/maven/</w:t>
        </w:r>
      </w:hyperlink>
    </w:p>
    <w:p w14:paraId="30BAFA6B" w14:textId="4B58B5D0" w:rsidR="00A77E6C" w:rsidRPr="004B2D5C" w:rsidRDefault="00A77E6C" w:rsidP="004B2D5C">
      <w:r>
        <w:t xml:space="preserve">Beim Build-Prozess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7" w:name="_Toc81469053"/>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NuGet-Paket-Manager </w:t>
      </w:r>
      <w:r w:rsidR="00C30139">
        <w:t>die Abhängigkeit Steeltoe.Discovery.Eureka installiert. Weiterhin muss in der Datei startup.cs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ConfigureServices(IServiceCollection services)</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services.AddDiscoveryClient(Configuration);</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Configure(IApplicationBuilder app, IWebHostEnvironment env)</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app.UseDiscoveryClient();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193345AE" w14:textId="72C8D9F1"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68FEA6F5" w14:textId="7AB5EE0C" w:rsidR="007B6CD3" w:rsidRDefault="007B6CD3" w:rsidP="00C503B9"/>
    <w:p w14:paraId="307A43B0" w14:textId="77777777" w:rsidR="007B6CD3" w:rsidRPr="00554D44" w:rsidRDefault="007B6CD3" w:rsidP="00C503B9"/>
    <w:p w14:paraId="1D9EA23E" w14:textId="33467513" w:rsidR="00C30139" w:rsidRDefault="009B37AE" w:rsidP="009B37AE">
      <w:pPr>
        <w:pStyle w:val="berschrift2"/>
      </w:pPr>
      <w:r>
        <w:t>Spring Cloud API Gateway</w:t>
      </w:r>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321BDEE5" w14:textId="77777777" w:rsidR="00E74376" w:rsidRPr="00E74376" w:rsidRDefault="00E74376" w:rsidP="00E74376">
      <w:pPr>
        <w:pStyle w:val="Listenabsatz"/>
        <w:numPr>
          <w:ilvl w:val="0"/>
          <w:numId w:val="18"/>
        </w:numPr>
        <w:rPr>
          <w:lang w:eastAsia="de-DE"/>
        </w:rPr>
      </w:pPr>
      <w:r w:rsidRPr="00E74376">
        <w:rPr>
          <w:lang w:eastAsia="de-DE"/>
        </w:rPr>
        <w:t>Einbindung eigener Filter</w:t>
      </w:r>
    </w:p>
    <w:p w14:paraId="08D883BD" w14:textId="77777777" w:rsidR="00E74376" w:rsidRDefault="00E74376" w:rsidP="0039276D"/>
    <w:p w14:paraId="0398A62F" w14:textId="2B004973"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p>
    <w:p w14:paraId="636030AE" w14:textId="3A1F4F9B" w:rsidR="009B37AE" w:rsidRDefault="009B37AE" w:rsidP="009B37AE"/>
    <w:p w14:paraId="5E3DBFE1" w14:textId="13B982DB" w:rsidR="009B37AE" w:rsidRPr="009B37AE" w:rsidRDefault="009B37AE" w:rsidP="009B37AE">
      <w:pPr>
        <w:pStyle w:val="berschrift2"/>
      </w:pPr>
      <w:r>
        <w:t>Keycloak und Spring Security</w:t>
      </w:r>
    </w:p>
    <w:p w14:paraId="54C5195E" w14:textId="77777777" w:rsidR="009B37AE" w:rsidRDefault="009B37AE" w:rsidP="00356562"/>
    <w:p w14:paraId="05CF1E2A" w14:textId="17320BA6" w:rsidR="00600008" w:rsidRPr="00600008" w:rsidRDefault="00356562" w:rsidP="00600008">
      <w:pPr>
        <w:pStyle w:val="berschrift2"/>
      </w:pPr>
      <w:bookmarkStart w:id="48" w:name="_Toc81469054"/>
      <w:r>
        <w:t>Services</w:t>
      </w:r>
      <w:bookmarkEnd w:id="48"/>
    </w:p>
    <w:p w14:paraId="5EC74752" w14:textId="76E8E1EA" w:rsidR="00356562" w:rsidRDefault="00356562" w:rsidP="00356562">
      <w:pPr>
        <w:pStyle w:val="berschrift3"/>
      </w:pPr>
      <w:bookmarkStart w:id="49" w:name="_Toc8146905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146905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r>
        <w:t>Deployment mit Docer</w:t>
      </w:r>
    </w:p>
    <w:p w14:paraId="2AA831BA" w14:textId="41DF7850" w:rsidR="00222014" w:rsidRDefault="00222014" w:rsidP="00222014">
      <w:pPr>
        <w:pStyle w:val="berschrift1"/>
      </w:pPr>
      <w:bookmarkStart w:id="51" w:name="_Toc81469057"/>
      <w:r>
        <w:t>Auswertung</w:t>
      </w:r>
      <w:bookmarkEnd w:id="51"/>
    </w:p>
    <w:p w14:paraId="35177725" w14:textId="70F20167" w:rsidR="00222014" w:rsidRDefault="00222014" w:rsidP="00222014">
      <w:pPr>
        <w:pStyle w:val="berschrift2"/>
      </w:pPr>
      <w:bookmarkStart w:id="52" w:name="_Toc81469058"/>
      <w:r>
        <w:t>Ergebnis</w:t>
      </w:r>
      <w:bookmarkEnd w:id="52"/>
    </w:p>
    <w:p w14:paraId="6A9E4C02" w14:textId="77777777" w:rsidR="006B678F" w:rsidRPr="00222014" w:rsidRDefault="006B678F" w:rsidP="006B678F">
      <w:pPr>
        <w:pStyle w:val="berschrift2"/>
      </w:pPr>
      <w:bookmarkStart w:id="53" w:name="_Toc81469059"/>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1469060"/>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2"/>
          <w:pgSz w:w="11906" w:h="16838" w:code="9"/>
          <w:pgMar w:top="1418" w:right="1701" w:bottom="1418" w:left="2268" w:header="709" w:footer="709" w:gutter="0"/>
          <w:pgNumType w:start="1"/>
          <w:cols w:space="708"/>
          <w:docGrid w:linePitch="360"/>
        </w:sectPr>
      </w:pPr>
    </w:p>
    <w:bookmarkStart w:id="55"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1469062"/>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1469063"/>
      <w:r>
        <w:lastRenderedPageBreak/>
        <w:t>Selstständigkeitserklärung</w:t>
      </w:r>
      <w:bookmarkEnd w:id="57"/>
    </w:p>
    <w:sectPr w:rsidR="00222014" w:rsidRPr="00222014" w:rsidSect="001E120E">
      <w:headerReference w:type="default" r:id="rId33"/>
      <w:footerReference w:type="default" r:id="rId34"/>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0A7F" w14:textId="77777777" w:rsidR="009147AD" w:rsidRDefault="009147AD" w:rsidP="00FA562A">
      <w:pPr>
        <w:spacing w:after="0" w:line="240" w:lineRule="auto"/>
      </w:pPr>
      <w:r>
        <w:separator/>
      </w:r>
    </w:p>
  </w:endnote>
  <w:endnote w:type="continuationSeparator" w:id="0">
    <w:p w14:paraId="257CAFD8" w14:textId="77777777" w:rsidR="009147AD" w:rsidRDefault="009147A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88A2" w14:textId="77777777" w:rsidR="009147AD" w:rsidRDefault="009147AD" w:rsidP="00FA562A">
      <w:pPr>
        <w:spacing w:after="0" w:line="240" w:lineRule="auto"/>
      </w:pPr>
      <w:r>
        <w:separator/>
      </w:r>
    </w:p>
  </w:footnote>
  <w:footnote w:type="continuationSeparator" w:id="0">
    <w:p w14:paraId="564177A0" w14:textId="77777777" w:rsidR="009147AD" w:rsidRDefault="009147AD"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7F665145" w:rsidR="001D2F11" w:rsidRPr="00097895" w:rsidRDefault="00922BF8" w:rsidP="00097895">
    <w:pPr>
      <w:pStyle w:val="Kopfzeile"/>
      <w:pBdr>
        <w:bottom w:val="single" w:sz="4" w:space="1" w:color="auto"/>
      </w:pBdr>
    </w:pPr>
    <w:fldSimple w:instr=" STYLEREF  &quot;Ü1 Römisch&quot;  \* MERGEFORMAT ">
      <w:r w:rsidR="00E74376">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5C4E682" w:rsidR="00097895" w:rsidRPr="00097895" w:rsidRDefault="006C5E29" w:rsidP="00097895">
    <w:pPr>
      <w:pStyle w:val="Kopfzeile"/>
      <w:pBdr>
        <w:bottom w:val="single" w:sz="4" w:space="1" w:color="auto"/>
      </w:pBdr>
    </w:pPr>
    <w:fldSimple w:instr=" STYLEREF  &quot;Ü1 Römisch&quot;  \* MERGEFORMAT ">
      <w:r w:rsidR="007B6CD3">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006E620E" w:rsidR="00097895" w:rsidRPr="00097895" w:rsidRDefault="006C5E29" w:rsidP="00097895">
    <w:pPr>
      <w:pStyle w:val="Kopfzeile"/>
      <w:pBdr>
        <w:bottom w:val="single" w:sz="4" w:space="1" w:color="auto"/>
      </w:pBdr>
    </w:pPr>
    <w:fldSimple w:instr=" STYLEREF  &quot;Überschrift 1&quot;  \* MERGEFORMAT ">
      <w:r w:rsidR="007B6CD3">
        <w:rPr>
          <w:noProof/>
        </w:rPr>
        <w:t>Zusammenfassung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B2377DA" w:rsidR="001E120E" w:rsidRPr="001E120E" w:rsidRDefault="009147AD" w:rsidP="001E120E">
    <w:pPr>
      <w:pStyle w:val="Kopfzeile"/>
    </w:pPr>
    <w:r>
      <w:fldChar w:fldCharType="begin"/>
    </w:r>
    <w:r>
      <w:instrText xml:space="preserve"> STYLEREF  "Ü1 Römisch"  \* MERGEFORMAT </w:instrText>
    </w:r>
    <w:r>
      <w:fldChar w:fldCharType="separate"/>
    </w:r>
    <w:r w:rsidR="007B6CD3">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6"/>
  </w:num>
  <w:num w:numId="3">
    <w:abstractNumId w:val="7"/>
  </w:num>
  <w:num w:numId="4">
    <w:abstractNumId w:val="17"/>
  </w:num>
  <w:num w:numId="5">
    <w:abstractNumId w:val="9"/>
  </w:num>
  <w:num w:numId="6">
    <w:abstractNumId w:val="0"/>
  </w:num>
  <w:num w:numId="7">
    <w:abstractNumId w:val="3"/>
  </w:num>
  <w:num w:numId="8">
    <w:abstractNumId w:val="2"/>
  </w:num>
  <w:num w:numId="9">
    <w:abstractNumId w:val="5"/>
  </w:num>
  <w:num w:numId="10">
    <w:abstractNumId w:val="10"/>
  </w:num>
  <w:num w:numId="11">
    <w:abstractNumId w:val="14"/>
  </w:num>
  <w:num w:numId="12">
    <w:abstractNumId w:val="8"/>
  </w:num>
  <w:num w:numId="13">
    <w:abstractNumId w:val="1"/>
  </w:num>
  <w:num w:numId="14">
    <w:abstractNumId w:val="4"/>
  </w:num>
  <w:num w:numId="15">
    <w:abstractNumId w:val="12"/>
  </w:num>
  <w:num w:numId="16">
    <w:abstractNumId w:val="11"/>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5660"/>
    <w:rsid w:val="00040BC5"/>
    <w:rsid w:val="000439EC"/>
    <w:rsid w:val="00062E36"/>
    <w:rsid w:val="0007432F"/>
    <w:rsid w:val="000748DD"/>
    <w:rsid w:val="00080B75"/>
    <w:rsid w:val="00082B12"/>
    <w:rsid w:val="000856CB"/>
    <w:rsid w:val="00087C0D"/>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52791"/>
    <w:rsid w:val="00155042"/>
    <w:rsid w:val="0015568B"/>
    <w:rsid w:val="00160B87"/>
    <w:rsid w:val="0017357D"/>
    <w:rsid w:val="00177A8E"/>
    <w:rsid w:val="00177DE8"/>
    <w:rsid w:val="001806AC"/>
    <w:rsid w:val="00185F35"/>
    <w:rsid w:val="00191264"/>
    <w:rsid w:val="00191D5D"/>
    <w:rsid w:val="001A23CE"/>
    <w:rsid w:val="001A37DA"/>
    <w:rsid w:val="001B3205"/>
    <w:rsid w:val="001C1A4E"/>
    <w:rsid w:val="001C3DDD"/>
    <w:rsid w:val="001C4AD9"/>
    <w:rsid w:val="001D2F11"/>
    <w:rsid w:val="001D592E"/>
    <w:rsid w:val="001E120E"/>
    <w:rsid w:val="001E30FA"/>
    <w:rsid w:val="001F483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3AF8"/>
    <w:rsid w:val="003F7C92"/>
    <w:rsid w:val="004039AA"/>
    <w:rsid w:val="00404821"/>
    <w:rsid w:val="00412D9B"/>
    <w:rsid w:val="00414BDC"/>
    <w:rsid w:val="004150A6"/>
    <w:rsid w:val="00416975"/>
    <w:rsid w:val="00417984"/>
    <w:rsid w:val="00423D18"/>
    <w:rsid w:val="00424F5D"/>
    <w:rsid w:val="004275AC"/>
    <w:rsid w:val="00436118"/>
    <w:rsid w:val="004449E7"/>
    <w:rsid w:val="00460113"/>
    <w:rsid w:val="004636B0"/>
    <w:rsid w:val="00482C04"/>
    <w:rsid w:val="00482C8E"/>
    <w:rsid w:val="00485544"/>
    <w:rsid w:val="00490A2C"/>
    <w:rsid w:val="00496B2B"/>
    <w:rsid w:val="004A3AA4"/>
    <w:rsid w:val="004B2D5C"/>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01FD"/>
    <w:rsid w:val="00624D45"/>
    <w:rsid w:val="00625B8C"/>
    <w:rsid w:val="00634611"/>
    <w:rsid w:val="00640FB8"/>
    <w:rsid w:val="006529B9"/>
    <w:rsid w:val="0065728F"/>
    <w:rsid w:val="00664CE5"/>
    <w:rsid w:val="00666DDE"/>
    <w:rsid w:val="00671579"/>
    <w:rsid w:val="006763C4"/>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6CD3"/>
    <w:rsid w:val="007C6AFC"/>
    <w:rsid w:val="007D2FAC"/>
    <w:rsid w:val="007D7FF3"/>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2BF8"/>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7AE"/>
    <w:rsid w:val="009B38A8"/>
    <w:rsid w:val="009C0584"/>
    <w:rsid w:val="009C226A"/>
    <w:rsid w:val="009C3070"/>
    <w:rsid w:val="009C4138"/>
    <w:rsid w:val="009D5BA4"/>
    <w:rsid w:val="009D7103"/>
    <w:rsid w:val="009E7A82"/>
    <w:rsid w:val="009F43B0"/>
    <w:rsid w:val="00A3172F"/>
    <w:rsid w:val="00A3189E"/>
    <w:rsid w:val="00A34A16"/>
    <w:rsid w:val="00A4271E"/>
    <w:rsid w:val="00A432E5"/>
    <w:rsid w:val="00A579B6"/>
    <w:rsid w:val="00A6315D"/>
    <w:rsid w:val="00A658E2"/>
    <w:rsid w:val="00A77E6C"/>
    <w:rsid w:val="00A82280"/>
    <w:rsid w:val="00A85E3D"/>
    <w:rsid w:val="00A873B6"/>
    <w:rsid w:val="00A979F3"/>
    <w:rsid w:val="00AA1569"/>
    <w:rsid w:val="00AA25FD"/>
    <w:rsid w:val="00AA29B9"/>
    <w:rsid w:val="00AB0D1C"/>
    <w:rsid w:val="00AC0DDF"/>
    <w:rsid w:val="00AE0F82"/>
    <w:rsid w:val="00AF398C"/>
    <w:rsid w:val="00B24040"/>
    <w:rsid w:val="00B3331A"/>
    <w:rsid w:val="00B430B2"/>
    <w:rsid w:val="00B43D17"/>
    <w:rsid w:val="00B52A3A"/>
    <w:rsid w:val="00B66F56"/>
    <w:rsid w:val="00B72258"/>
    <w:rsid w:val="00B76321"/>
    <w:rsid w:val="00B81405"/>
    <w:rsid w:val="00B85B53"/>
    <w:rsid w:val="00BC13E8"/>
    <w:rsid w:val="00BC74F7"/>
    <w:rsid w:val="00BD42B0"/>
    <w:rsid w:val="00BE5031"/>
    <w:rsid w:val="00C007F5"/>
    <w:rsid w:val="00C05808"/>
    <w:rsid w:val="00C0630E"/>
    <w:rsid w:val="00C10A9D"/>
    <w:rsid w:val="00C30139"/>
    <w:rsid w:val="00C3462E"/>
    <w:rsid w:val="00C4255E"/>
    <w:rsid w:val="00C503B9"/>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2FA0"/>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DF1E3F"/>
    <w:rsid w:val="00E01B0E"/>
    <w:rsid w:val="00E10F94"/>
    <w:rsid w:val="00E2603C"/>
    <w:rsid w:val="00E528D9"/>
    <w:rsid w:val="00E6696D"/>
    <w:rsid w:val="00E74376"/>
    <w:rsid w:val="00E75D24"/>
    <w:rsid w:val="00E81061"/>
    <w:rsid w:val="00E82C21"/>
    <w:rsid w:val="00EA0144"/>
    <w:rsid w:val="00EA20F9"/>
    <w:rsid w:val="00EA31DF"/>
    <w:rsid w:val="00EA4544"/>
    <w:rsid w:val="00EA5474"/>
    <w:rsid w:val="00EB43E7"/>
    <w:rsid w:val="00EB7B44"/>
    <w:rsid w:val="00EC4191"/>
    <w:rsid w:val="00EC5090"/>
    <w:rsid w:val="00ED1DDF"/>
    <w:rsid w:val="00ED3047"/>
    <w:rsid w:val="00ED5908"/>
    <w:rsid w:val="00ED6255"/>
    <w:rsid w:val="00EE74D3"/>
    <w:rsid w:val="00EF375C"/>
    <w:rsid w:val="00EF3970"/>
    <w:rsid w:val="00F058D8"/>
    <w:rsid w:val="00F059B9"/>
    <w:rsid w:val="00F05CB5"/>
    <w:rsid w:val="00F05F28"/>
    <w:rsid w:val="00F16BDD"/>
    <w:rsid w:val="00F234A6"/>
    <w:rsid w:val="00F23FA9"/>
    <w:rsid w:val="00F25E38"/>
    <w:rsid w:val="00F26B0E"/>
    <w:rsid w:val="00F311ED"/>
    <w:rsid w:val="00F402A0"/>
    <w:rsid w:val="00F455DC"/>
    <w:rsid w:val="00F55859"/>
    <w:rsid w:val="00F60197"/>
    <w:rsid w:val="00F74E3A"/>
    <w:rsid w:val="00F756FC"/>
    <w:rsid w:val="00F81968"/>
    <w:rsid w:val="00F84B51"/>
    <w:rsid w:val="00F86718"/>
    <w:rsid w:val="00FA17C7"/>
    <w:rsid w:val="00FA562A"/>
    <w:rsid w:val="00FA6F2F"/>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yperlink" Target="https://spring.io/guides/gs/mave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5730</Words>
  <Characters>36101</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107</cp:revision>
  <cp:lastPrinted>2021-08-23T14:43:00Z</cp:lastPrinted>
  <dcterms:created xsi:type="dcterms:W3CDTF">2021-08-01T12:15:00Z</dcterms:created>
  <dcterms:modified xsi:type="dcterms:W3CDTF">2021-09-13T17:33:00Z</dcterms:modified>
</cp:coreProperties>
</file>