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"</w:t>
      </w:r>
      <w:r w:rsidDel="00000000" w:rsidR="00000000" w:rsidRPr="00000000">
        <w:rPr>
          <w:b w:val="1"/>
          <w:sz w:val="28"/>
          <w:szCs w:val="28"/>
          <w:rtl w:val="0"/>
        </w:rPr>
        <w:t xml:space="preserve">politics of the end" as a repertoire of political action by the Chilean far-right: a social network analysis on Twitter of the constituent process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La "política del fin" como repertorio de acción política de la ultraderecha chilena: un análisis de redes sociales en Twitter del proceso constituyente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El objetivo de este trabajo es estudiar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Estudiar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la materialización del orden del discurso (Foucault) en el espacio público, en el espacio del #YoRechazo.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Estudiar el uso de "la política del fin" (asumir la catástrofe de la sociedad y esperar mesiánicamente a quién la pueda rescatar) como estrategia política de la ultraderecha.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60" w:before="60" w:lineRule="auto"/>
      <w:ind w:left="720" w:hanging="360"/>
      <w:jc w:val="both"/>
    </w:pPr>
    <w:rPr>
      <w:rFonts w:ascii="Arial" w:cs="Arial" w:eastAsia="Arial" w:hAnsi="Arial"/>
      <w:b w:val="1"/>
      <w:smallCap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pageBreakBefore w:val="0"/>
      <w:jc w:val="both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jc w:val="both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pageBreakBefore w:val="0"/>
      <w:jc w:val="center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