
<file path=[Content_Types].xml><?xml version="1.0" encoding="utf-8"?>
<Types xmlns="http://schemas.openxmlformats.org/package/2006/content-types">
  <Default ContentType="application/xml" Extension="xml"/>
  <Default ContentType="image/png" Extension="png"/>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notes+xml" PartName="/word/footnot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spacing w:line="256.80001090909093" w:lineRule="auto"/>
        <w:jc w:val="center"/>
        <w:rPr>
          <w:rFonts w:ascii="Cambria" w:cs="Cambria" w:eastAsia="Cambria" w:hAnsi="Cambria"/>
          <w:b w:val="1"/>
          <w:sz w:val="28"/>
          <w:szCs w:val="28"/>
        </w:rPr>
      </w:pPr>
      <w:r w:rsidDel="00000000" w:rsidR="00000000" w:rsidRPr="00000000">
        <w:rPr>
          <w:rFonts w:ascii="Cambria" w:cs="Cambria" w:eastAsia="Cambria" w:hAnsi="Cambria"/>
          <w:b w:val="1"/>
          <w:sz w:val="28"/>
          <w:szCs w:val="28"/>
          <w:rtl w:val="0"/>
        </w:rPr>
        <w:t xml:space="preserve">#YoRechazo una nueva Constitución: estrategias y radiografía de Twitter a partir de cinco cuentas de la ultraderecha chilena</w:t>
      </w:r>
      <w:r w:rsidDel="00000000" w:rsidR="00000000" w:rsidRPr="00000000">
        <w:rPr>
          <w:rtl w:val="0"/>
        </w:rPr>
      </w:r>
    </w:p>
    <w:p w:rsidR="00000000" w:rsidDel="00000000" w:rsidP="00000000" w:rsidRDefault="00000000" w:rsidRPr="00000000" w14:paraId="00000002">
      <w:pPr>
        <w:jc w:val="both"/>
        <w:rPr>
          <w:rFonts w:ascii="Cambria" w:cs="Cambria" w:eastAsia="Cambria" w:hAnsi="Cambria"/>
        </w:rPr>
      </w:pPr>
      <w:r w:rsidDel="00000000" w:rsidR="00000000" w:rsidRPr="00000000">
        <w:rPr>
          <w:rFonts w:ascii="Cambria" w:cs="Cambria" w:eastAsia="Cambria" w:hAnsi="Cambria"/>
          <w:b w:val="1"/>
          <w:rtl w:val="0"/>
        </w:rPr>
        <w:t xml:space="preserve">Introducción</w:t>
      </w:r>
      <w:r w:rsidDel="00000000" w:rsidR="00000000" w:rsidRPr="00000000">
        <w:rPr>
          <w:rtl w:val="0"/>
        </w:rPr>
      </w:r>
    </w:p>
    <w:p w:rsidR="00000000" w:rsidDel="00000000" w:rsidP="00000000" w:rsidRDefault="00000000" w:rsidRPr="00000000" w14:paraId="00000003">
      <w:pPr>
        <w:spacing w:after="240" w:before="240" w:lineRule="auto"/>
        <w:jc w:val="both"/>
        <w:rPr>
          <w:rFonts w:ascii="Cambria" w:cs="Cambria" w:eastAsia="Cambria" w:hAnsi="Cambria"/>
        </w:rPr>
      </w:pPr>
      <w:r w:rsidDel="00000000" w:rsidR="00000000" w:rsidRPr="00000000">
        <w:rPr>
          <w:rFonts w:ascii="Cambria" w:cs="Cambria" w:eastAsia="Cambria" w:hAnsi="Cambria"/>
          <w:rtl w:val="0"/>
        </w:rPr>
        <w:t xml:space="preserve">A la sociedad que habitamos le han llamado de diversas maneras, pero hay un acuerdo relativo en cómo las formas de acumulación de capital se han actualizado a propósito del desarrollo tecnológico. No extraña oír o leer denominaciones como “semiocapitalismo” (Berardi, 2019) o sobre el advenimiento de un capitalismo de tipo de pila (o </w:t>
      </w:r>
      <w:r w:rsidDel="00000000" w:rsidR="00000000" w:rsidRPr="00000000">
        <w:rPr>
          <w:rFonts w:ascii="Cambria" w:cs="Cambria" w:eastAsia="Cambria" w:hAnsi="Cambria"/>
          <w:i w:val="1"/>
          <w:rtl w:val="0"/>
        </w:rPr>
        <w:t xml:space="preserve">stack</w:t>
      </w:r>
      <w:r w:rsidDel="00000000" w:rsidR="00000000" w:rsidRPr="00000000">
        <w:rPr>
          <w:rFonts w:ascii="Cambria" w:cs="Cambria" w:eastAsia="Cambria" w:hAnsi="Cambria"/>
          <w:rtl w:val="0"/>
        </w:rPr>
        <w:t xml:space="preserve">, el anglicismo que refiere a la estructura de datos) (Bratton, 2020). Es por esto que proponemos prestar atención a la forma en que se actualizan formas de acción política y cómo grupos se apropian de un nuevo contexto mediado en y por lo digital. Particularmente, en el uso político y organizado de la ultraderecha en Twitter. En este documento revisaremos la relación entre elementos que se acumulan, producen sentido y se replican rápidamente, siendo esto último más importante que las formas de verificación. </w:t>
      </w:r>
      <w:r w:rsidDel="00000000" w:rsidR="00000000" w:rsidRPr="00000000">
        <w:rPr>
          <w:rFonts w:ascii="Cambria" w:cs="Cambria" w:eastAsia="Cambria" w:hAnsi="Cambria"/>
          <w:rtl w:val="0"/>
        </w:rPr>
        <w:t xml:space="preserve">Los resultados que aquí discutiremos son fruto de un artículo científico publicado en octubre de 2022 en la revista </w:t>
      </w:r>
      <w:r w:rsidDel="00000000" w:rsidR="00000000" w:rsidRPr="00000000">
        <w:rPr>
          <w:rFonts w:ascii="Cambria" w:cs="Cambria" w:eastAsia="Cambria" w:hAnsi="Cambria"/>
          <w:i w:val="1"/>
          <w:rtl w:val="0"/>
        </w:rPr>
        <w:t xml:space="preserve">Social Network Analysis and Mining</w:t>
      </w:r>
      <w:r w:rsidDel="00000000" w:rsidR="00000000" w:rsidRPr="00000000">
        <w:rPr>
          <w:rFonts w:ascii="Cambria" w:cs="Cambria" w:eastAsia="Cambria" w:hAnsi="Cambria"/>
          <w:rtl w:val="0"/>
        </w:rPr>
        <w:t xml:space="preserve">.</w:t>
      </w:r>
      <w:r w:rsidDel="00000000" w:rsidR="00000000" w:rsidRPr="00000000">
        <w:rPr>
          <w:rFonts w:ascii="Cambria" w:cs="Cambria" w:eastAsia="Cambria" w:hAnsi="Cambria"/>
          <w:vertAlign w:val="superscript"/>
        </w:rPr>
        <w:footnoteReference w:customMarkFollows="0" w:id="0"/>
      </w:r>
      <w:r w:rsidDel="00000000" w:rsidR="00000000" w:rsidRPr="00000000">
        <w:rPr>
          <w:rtl w:val="0"/>
        </w:rPr>
      </w:r>
    </w:p>
    <w:p w:rsidR="00000000" w:rsidDel="00000000" w:rsidP="00000000" w:rsidRDefault="00000000" w:rsidRPr="00000000" w14:paraId="00000004">
      <w:pPr>
        <w:spacing w:after="240" w:before="240" w:lineRule="auto"/>
        <w:jc w:val="both"/>
        <w:rPr>
          <w:rFonts w:ascii="Cambria" w:cs="Cambria" w:eastAsia="Cambria" w:hAnsi="Cambria"/>
        </w:rPr>
      </w:pPr>
      <w:r w:rsidDel="00000000" w:rsidR="00000000" w:rsidRPr="00000000">
        <w:rPr>
          <w:rFonts w:ascii="Cambria" w:cs="Cambria" w:eastAsia="Cambria" w:hAnsi="Cambria"/>
          <w:rtl w:val="0"/>
        </w:rPr>
        <w:t xml:space="preserve">Considerando la imposibilidad de caracterizar todos los grupos de influencia en una red social, decidimos prestar atención a cinco cuentas que destacan en la infosfera. Operacionalmente, les consideraremos líderes de opinión, al tener una actividad continua y constante en redes de difusión. Les relevamos como facilitadores de viralización de contenido “ideológico” (pese a que digan explícitamente que no lo son), en cómo producen cámaras de eco que actúan como “ejércitos” (Schäfer, Evert y Heinrich, 2017) para las campañas de desinformación y/o instalación de discursos de odio, y cómo en la legitimación de ciertos discursos relativizan los márgenes de lo tolerable en una campaña electoral de interés público.</w:t>
      </w:r>
    </w:p>
    <w:p w:rsidR="00000000" w:rsidDel="00000000" w:rsidP="00000000" w:rsidRDefault="00000000" w:rsidRPr="00000000" w14:paraId="00000005">
      <w:pPr>
        <w:spacing w:after="240" w:before="240" w:lineRule="auto"/>
        <w:jc w:val="both"/>
        <w:rPr>
          <w:rFonts w:ascii="Cambria" w:cs="Cambria" w:eastAsia="Cambria" w:hAnsi="Cambria"/>
          <w:b w:val="1"/>
        </w:rPr>
      </w:pPr>
      <w:r w:rsidDel="00000000" w:rsidR="00000000" w:rsidRPr="00000000">
        <w:rPr>
          <w:rFonts w:ascii="Cambria" w:cs="Cambria" w:eastAsia="Cambria" w:hAnsi="Cambria"/>
          <w:rtl w:val="0"/>
        </w:rPr>
        <w:t xml:space="preserve">Hablar del proceso constituyente implica una reflexión que excede la pretensión de esta columna. No obstante, caben dos precisiones que orientaron este trabajo. Primero, la pregunta sobre cuándo se activa la actividad digital en un proceso político abierto como la revuelta (o estallido social) de octubre de 2019. Segundo, el proceso constituyente se identificó como un hito que, al menos para la agenda pública, modificó la discusión sobre formas en que se institucionalizó (o al menos se intentó) a la acción colectiva. Más precisamente, caracterizamos la acción política digital para la primera parte del plebiscito en una coyuntura que nos permite entender qué y cómo ciertos espacios de influencia fueron produciendo un discurso que nos parece cercano por la coyuntura del 4 de septiembre de 2022.</w:t>
      </w:r>
      <w:r w:rsidDel="00000000" w:rsidR="00000000" w:rsidRPr="00000000">
        <w:rPr>
          <w:rtl w:val="0"/>
        </w:rPr>
      </w:r>
    </w:p>
    <w:p w:rsidR="00000000" w:rsidDel="00000000" w:rsidP="00000000" w:rsidRDefault="00000000" w:rsidRPr="00000000" w14:paraId="00000006">
      <w:pPr>
        <w:jc w:val="both"/>
        <w:rPr>
          <w:rFonts w:ascii="Cambria" w:cs="Cambria" w:eastAsia="Cambria" w:hAnsi="Cambria"/>
          <w:b w:val="1"/>
        </w:rPr>
      </w:pPr>
      <w:r w:rsidDel="00000000" w:rsidR="00000000" w:rsidRPr="00000000">
        <w:rPr>
          <w:rFonts w:ascii="Cambria" w:cs="Cambria" w:eastAsia="Cambria" w:hAnsi="Cambria"/>
          <w:b w:val="1"/>
          <w:rtl w:val="0"/>
        </w:rPr>
        <w:t xml:space="preserve">El entrenamiento de una mirada</w:t>
      </w:r>
    </w:p>
    <w:p w:rsidR="00000000" w:rsidDel="00000000" w:rsidP="00000000" w:rsidRDefault="00000000" w:rsidRPr="00000000" w14:paraId="00000007">
      <w:pPr>
        <w:jc w:val="both"/>
        <w:rPr>
          <w:rFonts w:ascii="Cambria" w:cs="Cambria" w:eastAsia="Cambria" w:hAnsi="Cambria"/>
        </w:rPr>
      </w:pPr>
      <w:r w:rsidDel="00000000" w:rsidR="00000000" w:rsidRPr="00000000">
        <w:rPr>
          <w:rFonts w:ascii="Cambria" w:cs="Cambria" w:eastAsia="Cambria" w:hAnsi="Cambria"/>
          <w:rtl w:val="0"/>
        </w:rPr>
        <w:t xml:space="preserve">En un (no tan) lejano 1968, Guy Debord (2012) señaló que las relaciones sociales se realizaban mediante imágenes. Estar de acuerdo con esta afirmación implica dos cosas: una dimensión conflictiva de la vida social, dado que no todas las personas pueden producir y acceder a las mismas imágenes, y la posibilidad de apropiarse de ellas como mercancías. </w:t>
      </w:r>
      <w:r w:rsidDel="00000000" w:rsidR="00000000" w:rsidRPr="00000000">
        <w:rPr>
          <w:rFonts w:ascii="Cambria" w:cs="Cambria" w:eastAsia="Cambria" w:hAnsi="Cambria"/>
          <w:rtl w:val="0"/>
        </w:rPr>
        <w:t xml:space="preserve">Si pensamos en la exponencial cantidad de contenido digital que se encuentra en redes sociales, </w:t>
      </w:r>
      <w:r w:rsidDel="00000000" w:rsidR="00000000" w:rsidRPr="00000000">
        <w:rPr>
          <w:rFonts w:ascii="Cambria" w:cs="Cambria" w:eastAsia="Cambria" w:hAnsi="Cambria"/>
          <w:rtl w:val="0"/>
        </w:rPr>
        <w:t xml:space="preserve">esta tesis se radicaliza y nos muestra cómo los archivos digitales abren nuevos y radicales espacios de indagación (Tello, 2018).</w:t>
      </w:r>
    </w:p>
    <w:p w:rsidR="00000000" w:rsidDel="00000000" w:rsidP="00000000" w:rsidRDefault="00000000" w:rsidRPr="00000000" w14:paraId="00000008">
      <w:pPr>
        <w:jc w:val="both"/>
        <w:rPr>
          <w:rFonts w:ascii="Cambria" w:cs="Cambria" w:eastAsia="Cambria" w:hAnsi="Cambria"/>
        </w:rPr>
      </w:pPr>
      <w:r w:rsidDel="00000000" w:rsidR="00000000" w:rsidRPr="00000000">
        <w:rPr>
          <w:rFonts w:ascii="Cambria" w:cs="Cambria" w:eastAsia="Cambria" w:hAnsi="Cambria"/>
          <w:rtl w:val="0"/>
        </w:rPr>
        <w:t xml:space="preserve">Ahora bien, la pregunta es </w:t>
      </w:r>
      <w:r w:rsidDel="00000000" w:rsidR="00000000" w:rsidRPr="00000000">
        <w:rPr>
          <w:rFonts w:ascii="Cambria" w:cs="Cambria" w:eastAsia="Cambria" w:hAnsi="Cambria"/>
          <w:rtl w:val="0"/>
        </w:rPr>
        <w:t xml:space="preserve">qué es lo que ocurre para que un haz de luz nos permita poner atención y registrar mensajes que podrían desaparecer de la pila de datos de Twitter</w:t>
      </w:r>
      <w:r w:rsidDel="00000000" w:rsidR="00000000" w:rsidRPr="00000000">
        <w:rPr>
          <w:rFonts w:ascii="Cambria" w:cs="Cambria" w:eastAsia="Cambria" w:hAnsi="Cambria"/>
          <w:rtl w:val="0"/>
        </w:rPr>
        <w:t xml:space="preserve">. En el caso de este trabajo, fue la posibilidad de ver cómo se entrena una mirada en tanto </w:t>
      </w:r>
      <w:r w:rsidDel="00000000" w:rsidR="00000000" w:rsidRPr="00000000">
        <w:rPr>
          <w:rFonts w:ascii="Cambria" w:cs="Cambria" w:eastAsia="Cambria" w:hAnsi="Cambria"/>
          <w:rtl w:val="0"/>
        </w:rPr>
        <w:t xml:space="preserve">forma de orientación de conductas durante el proceso constituyente, en una </w:t>
      </w:r>
      <w:r w:rsidDel="00000000" w:rsidR="00000000" w:rsidRPr="00000000">
        <w:rPr>
          <w:rFonts w:ascii="Cambria" w:cs="Cambria" w:eastAsia="Cambria" w:hAnsi="Cambria"/>
          <w:b w:val="1"/>
          <w:rtl w:val="0"/>
        </w:rPr>
        <w:t xml:space="preserve">gubernamentalidad escópica</w:t>
      </w:r>
      <w:r w:rsidDel="00000000" w:rsidR="00000000" w:rsidRPr="00000000">
        <w:rPr>
          <w:rFonts w:ascii="Cambria" w:cs="Cambria" w:eastAsia="Cambria" w:hAnsi="Cambria"/>
          <w:b w:val="1"/>
          <w:rtl w:val="0"/>
        </w:rPr>
        <w:t xml:space="preserve">.</w:t>
      </w:r>
      <w:r w:rsidDel="00000000" w:rsidR="00000000" w:rsidRPr="00000000">
        <w:rPr>
          <w:rFonts w:ascii="Cambria" w:cs="Cambria" w:eastAsia="Cambria" w:hAnsi="Cambria"/>
          <w:rtl w:val="0"/>
        </w:rPr>
        <w:t xml:space="preserve"> Si las relaciones sociales mediante imágenes producen un espectáculo que es parte de los procesos de acumulación de sentidos, la indistinción y ensamblaje de redes sociales, memes y noticias falsas producen un orden que organiza lo que conocemos y lo que podemos observar.</w:t>
      </w:r>
    </w:p>
    <w:p w:rsidR="00000000" w:rsidDel="00000000" w:rsidP="00000000" w:rsidRDefault="00000000" w:rsidRPr="00000000" w14:paraId="00000009">
      <w:pPr>
        <w:jc w:val="both"/>
        <w:rPr>
          <w:rFonts w:ascii="Cambria" w:cs="Cambria" w:eastAsia="Cambria" w:hAnsi="Cambria"/>
          <w:highlight w:val="yellow"/>
        </w:rPr>
      </w:pPr>
      <w:r w:rsidDel="00000000" w:rsidR="00000000" w:rsidRPr="00000000">
        <w:rPr>
          <w:rFonts w:ascii="Cambria" w:cs="Cambria" w:eastAsia="Cambria" w:hAnsi="Cambria"/>
          <w:rtl w:val="0"/>
        </w:rPr>
        <w:t xml:space="preserve">Considerando que una reflexión tan general tiene múltiples posibilidades hermenéuticas, enfocamos nuestro análisis en la ultraderecha y cómo han utilizado una radicalidad a la cual llamamos “política del fin”. La discontinuidad de nuestra experiencia con el tiempo, la atención, la sensibilidad y la incapacidad de imaginar nuestro futuro es parte de este supuesto.  Jameson (1994) dijo que “es más fácil imaginar el fin del mundo que imaginar el fin del capitalismo”, recordándonos que la imaginación es parte de las disputas políticas. En ese sentido, en un contexto de catástrofes (ecológicas, políticas, </w:t>
      </w:r>
      <w:r w:rsidDel="00000000" w:rsidR="00000000" w:rsidRPr="00000000">
        <w:rPr>
          <w:rFonts w:ascii="Cambria" w:cs="Cambria" w:eastAsia="Cambria" w:hAnsi="Cambria"/>
          <w:rtl w:val="0"/>
        </w:rPr>
        <w:t xml:space="preserve">sanitarias), tenemos una política del “fin” que instala la “gracia” como “áncora de salvación” de los  conversos, con el objetivo de recuperar certezas y territorializar sentidos.</w:t>
      </w:r>
      <w:r w:rsidDel="00000000" w:rsidR="00000000" w:rsidRPr="00000000">
        <w:rPr>
          <w:rtl w:val="0"/>
        </w:rPr>
      </w:r>
    </w:p>
    <w:p w:rsidR="00000000" w:rsidDel="00000000" w:rsidP="00000000" w:rsidRDefault="00000000" w:rsidRPr="00000000" w14:paraId="0000000A">
      <w:pPr>
        <w:jc w:val="both"/>
        <w:rPr>
          <w:rFonts w:ascii="Cambria" w:cs="Cambria" w:eastAsia="Cambria" w:hAnsi="Cambria"/>
          <w:b w:val="1"/>
        </w:rPr>
      </w:pPr>
      <w:r w:rsidDel="00000000" w:rsidR="00000000" w:rsidRPr="00000000">
        <w:rPr>
          <w:rFonts w:ascii="Cambria" w:cs="Cambria" w:eastAsia="Cambria" w:hAnsi="Cambria"/>
          <w:b w:val="1"/>
          <w:rtl w:val="0"/>
        </w:rPr>
        <w:t xml:space="preserve">Metodología y resultados</w:t>
      </w:r>
    </w:p>
    <w:p w:rsidR="00000000" w:rsidDel="00000000" w:rsidP="00000000" w:rsidRDefault="00000000" w:rsidRPr="00000000" w14:paraId="0000000B">
      <w:pPr>
        <w:jc w:val="both"/>
        <w:rPr>
          <w:rFonts w:ascii="Cambria" w:cs="Cambria" w:eastAsia="Cambria" w:hAnsi="Cambria"/>
        </w:rPr>
      </w:pPr>
      <w:r w:rsidDel="00000000" w:rsidR="00000000" w:rsidRPr="00000000">
        <w:rPr>
          <w:rFonts w:ascii="Cambria" w:cs="Cambria" w:eastAsia="Cambria" w:hAnsi="Cambria"/>
          <w:rtl w:val="0"/>
        </w:rPr>
        <w:t xml:space="preserve">Nuestro objetivo principal fue mostrar cómo el discurso de “política del fin”, originalmente utilizado por la izquierda política, está siendo instalado por la ultraderecha chilena a través de las redes sociales. Mediante una metodología híbrida, usamos estadísticas, análisis de redes sociales, análisis de contenido y análisis crítico del discurso.</w:t>
      </w:r>
    </w:p>
    <w:p w:rsidR="00000000" w:rsidDel="00000000" w:rsidP="00000000" w:rsidRDefault="00000000" w:rsidRPr="00000000" w14:paraId="0000000C">
      <w:pPr>
        <w:jc w:val="both"/>
        <w:rPr>
          <w:rFonts w:ascii="Cambria" w:cs="Cambria" w:eastAsia="Cambria" w:hAnsi="Cambria"/>
          <w:b w:val="1"/>
          <w:i w:val="1"/>
        </w:rPr>
      </w:pPr>
      <w:r w:rsidDel="00000000" w:rsidR="00000000" w:rsidRPr="00000000">
        <w:rPr>
          <w:rFonts w:ascii="Cambria" w:cs="Cambria" w:eastAsia="Cambria" w:hAnsi="Cambria"/>
          <w:b w:val="1"/>
          <w:i w:val="1"/>
          <w:rtl w:val="0"/>
        </w:rPr>
        <w:t xml:space="preserve">Dataset</w:t>
      </w:r>
    </w:p>
    <w:p w:rsidR="00000000" w:rsidDel="00000000" w:rsidP="00000000" w:rsidRDefault="00000000" w:rsidRPr="00000000" w14:paraId="0000000D">
      <w:pPr>
        <w:jc w:val="both"/>
        <w:rPr>
          <w:rFonts w:ascii="Cambria" w:cs="Cambria" w:eastAsia="Cambria" w:hAnsi="Cambria"/>
        </w:rPr>
      </w:pPr>
      <w:r w:rsidDel="00000000" w:rsidR="00000000" w:rsidRPr="00000000">
        <w:rPr>
          <w:rFonts w:ascii="Cambria" w:cs="Cambria" w:eastAsia="Cambria" w:hAnsi="Cambria"/>
          <w:rtl w:val="0"/>
        </w:rPr>
        <w:t xml:space="preserve">Recogimos actividad en Twitter durante la primera mitad del proceso constituyente. Partimos con la actividad (tweets originales, retweets y menciones) de cinco </w:t>
      </w:r>
      <w:r w:rsidDel="00000000" w:rsidR="00000000" w:rsidRPr="00000000">
        <w:rPr>
          <w:rFonts w:ascii="Cambria" w:cs="Cambria" w:eastAsia="Cambria" w:hAnsi="Cambria"/>
          <w:i w:val="1"/>
          <w:rtl w:val="0"/>
        </w:rPr>
        <w:t xml:space="preserve">cuentas base</w:t>
      </w:r>
      <w:r w:rsidDel="00000000" w:rsidR="00000000" w:rsidRPr="00000000">
        <w:rPr>
          <w:rFonts w:ascii="Cambria" w:cs="Cambria" w:eastAsia="Cambria" w:hAnsi="Cambria"/>
          <w:rtl w:val="0"/>
        </w:rPr>
        <w:t xml:space="preserve">: políticos y empresarios de ultraderecha con influencia externa transferible a la red; opositores de la Convención Constituyente y a favor de la opción Rechazo: José Antonio Kast, Sergio Melnick, Teresa Marinovic Vial, Gonzalo de la Carrera, y Jorge Errázuriz. Se recolectaron sus tweets entre el 15/11/2019 (inicio de la campaña del Rechazo, anunciada por Kast vía Twitter)</w:t>
      </w:r>
      <w:r w:rsidDel="00000000" w:rsidR="00000000" w:rsidRPr="00000000">
        <w:rPr>
          <w:rFonts w:ascii="Cambria" w:cs="Cambria" w:eastAsia="Cambria" w:hAnsi="Cambria"/>
          <w:vertAlign w:val="superscript"/>
        </w:rPr>
        <w:footnoteReference w:customMarkFollows="0" w:id="1"/>
      </w:r>
      <w:r w:rsidDel="00000000" w:rsidR="00000000" w:rsidRPr="00000000">
        <w:rPr>
          <w:rFonts w:ascii="Cambria" w:cs="Cambria" w:eastAsia="Cambria" w:hAnsi="Cambria"/>
          <w:rtl w:val="0"/>
        </w:rPr>
        <w:t xml:space="preserve"> y el 31/7/2020 (tras conocerse la lista de organizaciones sociales civiles registradas para la franja televisiva).</w:t>
      </w:r>
    </w:p>
    <w:p w:rsidR="00000000" w:rsidDel="00000000" w:rsidP="00000000" w:rsidRDefault="00000000" w:rsidRPr="00000000" w14:paraId="0000000E">
      <w:pPr>
        <w:jc w:val="center"/>
        <w:rPr>
          <w:rFonts w:ascii="Cambria" w:cs="Cambria" w:eastAsia="Cambria" w:hAnsi="Cambria"/>
        </w:rPr>
      </w:pPr>
      <w:r w:rsidDel="00000000" w:rsidR="00000000" w:rsidRPr="00000000">
        <w:rPr>
          <w:rFonts w:ascii="Cambria" w:cs="Cambria" w:eastAsia="Cambria" w:hAnsi="Cambria"/>
        </w:rPr>
        <w:drawing>
          <wp:inline distB="114300" distT="114300" distL="114300" distR="114300">
            <wp:extent cx="4157663" cy="3644823"/>
            <wp:effectExtent b="0" l="0" r="0" t="0"/>
            <wp:docPr id="2" name="image2.png"/>
            <a:graphic>
              <a:graphicData uri="http://schemas.openxmlformats.org/drawingml/2006/picture">
                <pic:pic>
                  <pic:nvPicPr>
                    <pic:cNvPr id="0" name="image2.png"/>
                    <pic:cNvPicPr preferRelativeResize="0"/>
                  </pic:nvPicPr>
                  <pic:blipFill>
                    <a:blip r:embed="rId8"/>
                    <a:srcRect b="0" l="0" r="0" t="0"/>
                    <a:stretch>
                      <a:fillRect/>
                    </a:stretch>
                  </pic:blipFill>
                  <pic:spPr>
                    <a:xfrm>
                      <a:off x="0" y="0"/>
                      <a:ext cx="4157663" cy="3644823"/>
                    </a:xfrm>
                    <a:prstGeom prst="rect"/>
                    <a:ln/>
                  </pic:spPr>
                </pic:pic>
              </a:graphicData>
            </a:graphic>
          </wp:inline>
        </w:drawing>
      </w:r>
      <w:r w:rsidDel="00000000" w:rsidR="00000000" w:rsidRPr="00000000">
        <w:rPr>
          <w:rtl w:val="0"/>
        </w:rPr>
      </w:r>
    </w:p>
    <w:p w:rsidR="00000000" w:rsidDel="00000000" w:rsidP="00000000" w:rsidRDefault="00000000" w:rsidRPr="00000000" w14:paraId="0000000F">
      <w:pPr>
        <w:jc w:val="center"/>
        <w:rPr>
          <w:rFonts w:ascii="Cambria" w:cs="Cambria" w:eastAsia="Cambria" w:hAnsi="Cambria"/>
        </w:rPr>
      </w:pPr>
      <w:r w:rsidDel="00000000" w:rsidR="00000000" w:rsidRPr="00000000">
        <w:rPr>
          <w:rFonts w:ascii="Cambria" w:cs="Cambria" w:eastAsia="Cambria" w:hAnsi="Cambria"/>
          <w:rtl w:val="0"/>
        </w:rPr>
        <w:t xml:space="preserve">Figura 1. Inicio de la campaña del Rechazo, 15 de noviembre de 2019.</w:t>
      </w:r>
    </w:p>
    <w:p w:rsidR="00000000" w:rsidDel="00000000" w:rsidP="00000000" w:rsidRDefault="00000000" w:rsidRPr="00000000" w14:paraId="00000010">
      <w:pPr>
        <w:jc w:val="both"/>
        <w:rPr>
          <w:rFonts w:ascii="Cambria" w:cs="Cambria" w:eastAsia="Cambria" w:hAnsi="Cambria"/>
        </w:rPr>
      </w:pPr>
      <w:r w:rsidDel="00000000" w:rsidR="00000000" w:rsidRPr="00000000">
        <w:rPr>
          <w:rFonts w:ascii="Cambria" w:cs="Cambria" w:eastAsia="Cambria" w:hAnsi="Cambria"/>
          <w:rtl w:val="0"/>
        </w:rPr>
        <w:t xml:space="preserve">Posteriormente, se recolectó información de los perfiles de los 603,879 </w:t>
      </w:r>
      <w:r w:rsidDel="00000000" w:rsidR="00000000" w:rsidRPr="00000000">
        <w:rPr>
          <w:rFonts w:ascii="Cambria" w:cs="Cambria" w:eastAsia="Cambria" w:hAnsi="Cambria"/>
          <w:i w:val="1"/>
          <w:rtl w:val="0"/>
        </w:rPr>
        <w:t xml:space="preserve">seguidores</w:t>
      </w:r>
      <w:r w:rsidDel="00000000" w:rsidR="00000000" w:rsidRPr="00000000">
        <w:rPr>
          <w:rFonts w:ascii="Cambria" w:cs="Cambria" w:eastAsia="Cambria" w:hAnsi="Cambria"/>
          <w:rtl w:val="0"/>
        </w:rPr>
        <w:t xml:space="preserve"> (personas que siguen a alguna de estas cuentas base) y 129,853 </w:t>
      </w:r>
      <w:r w:rsidDel="00000000" w:rsidR="00000000" w:rsidRPr="00000000">
        <w:rPr>
          <w:rFonts w:ascii="Cambria" w:cs="Cambria" w:eastAsia="Cambria" w:hAnsi="Cambria"/>
          <w:i w:val="1"/>
          <w:rtl w:val="0"/>
        </w:rPr>
        <w:t xml:space="preserve">amigos</w:t>
      </w:r>
      <w:r w:rsidDel="00000000" w:rsidR="00000000" w:rsidRPr="00000000">
        <w:rPr>
          <w:rFonts w:ascii="Cambria" w:cs="Cambria" w:eastAsia="Cambria" w:hAnsi="Cambria"/>
          <w:rtl w:val="0"/>
        </w:rPr>
        <w:t xml:space="preserve"> (cuentas que son seguidas por alguna de las cuentas base) que tenían las cuentas base a mediados de 2020.</w:t>
      </w:r>
    </w:p>
    <w:p w:rsidR="00000000" w:rsidDel="00000000" w:rsidP="00000000" w:rsidRDefault="00000000" w:rsidRPr="00000000" w14:paraId="00000011">
      <w:pPr>
        <w:jc w:val="both"/>
        <w:rPr>
          <w:rFonts w:ascii="Cambria" w:cs="Cambria" w:eastAsia="Cambria" w:hAnsi="Cambria"/>
          <w:b w:val="1"/>
          <w:i w:val="1"/>
        </w:rPr>
      </w:pPr>
      <w:r w:rsidDel="00000000" w:rsidR="00000000" w:rsidRPr="00000000">
        <w:rPr>
          <w:rFonts w:ascii="Cambria" w:cs="Cambria" w:eastAsia="Cambria" w:hAnsi="Cambria"/>
          <w:b w:val="1"/>
          <w:i w:val="1"/>
          <w:rtl w:val="0"/>
        </w:rPr>
        <w:t xml:space="preserve">Amplificadores de contenido: bots y cuentas de propósito particular</w:t>
      </w:r>
    </w:p>
    <w:p w:rsidR="00000000" w:rsidDel="00000000" w:rsidP="00000000" w:rsidRDefault="00000000" w:rsidRPr="00000000" w14:paraId="00000012">
      <w:pPr>
        <w:jc w:val="both"/>
        <w:rPr>
          <w:rFonts w:ascii="Cambria" w:cs="Cambria" w:eastAsia="Cambria" w:hAnsi="Cambria"/>
        </w:rPr>
      </w:pPr>
      <w:r w:rsidDel="00000000" w:rsidR="00000000" w:rsidRPr="00000000">
        <w:rPr>
          <w:rFonts w:ascii="Cambria" w:cs="Cambria" w:eastAsia="Cambria" w:hAnsi="Cambria"/>
          <w:rtl w:val="0"/>
        </w:rPr>
        <w:t xml:space="preserve">La Figura 2 muestra las fechas de creación de los seguidores y amigos de las cuentas base. El pico de 2010 coincide con la elección presidencial de Sebastián Piñera y el de 2019 con el estallido social (Figura 2a). Si solo consideramos las cuentas con perfil explícitamente ultraderechista (con palabras como “rechazo”, “zurdo”, “zurderío”, “comunista”, “comunacho”, “Pinochet” o “patriota” en sus descripciones), observamos una alta correlación, con un aumento de creaciones de cuentas extremistas en 2020, durante el estallido social (Figura 2b). 65,332 (10.82%) cuentas fueron creadas desde el 18 de octubre de 2019 (Figura 2c), inicio de las protestas masivas, y 41,302 seguidores (6.84%) desde el 15 de noviembre (Figura 2d), fecha del “Acuerdo por la Paz”, que derivaría en la creación de la Convención Constitucional. </w:t>
      </w:r>
    </w:p>
    <w:p w:rsidR="00000000" w:rsidDel="00000000" w:rsidP="00000000" w:rsidRDefault="00000000" w:rsidRPr="00000000" w14:paraId="00000013">
      <w:pPr>
        <w:jc w:val="both"/>
        <w:rPr>
          <w:rFonts w:ascii="Cambria" w:cs="Cambria" w:eastAsia="Cambria" w:hAnsi="Cambria"/>
        </w:rPr>
      </w:pPr>
      <w:r w:rsidDel="00000000" w:rsidR="00000000" w:rsidRPr="00000000">
        <w:rPr>
          <w:rFonts w:ascii="Cambria" w:cs="Cambria" w:eastAsia="Cambria" w:hAnsi="Cambria"/>
        </w:rPr>
        <w:drawing>
          <wp:inline distB="114300" distT="114300" distL="114300" distR="114300">
            <wp:extent cx="5612130" cy="3251200"/>
            <wp:effectExtent b="0" l="0" r="0" t="0"/>
            <wp:docPr id="3" name="image1.png"/>
            <a:graphic>
              <a:graphicData uri="http://schemas.openxmlformats.org/drawingml/2006/picture">
                <pic:pic>
                  <pic:nvPicPr>
                    <pic:cNvPr id="0" name="image1.png"/>
                    <pic:cNvPicPr preferRelativeResize="0"/>
                  </pic:nvPicPr>
                  <pic:blipFill>
                    <a:blip r:embed="rId9"/>
                    <a:srcRect b="0" l="0" r="0" t="0"/>
                    <a:stretch>
                      <a:fillRect/>
                    </a:stretch>
                  </pic:blipFill>
                  <pic:spPr>
                    <a:xfrm>
                      <a:off x="0" y="0"/>
                      <a:ext cx="5612130" cy="3251200"/>
                    </a:xfrm>
                    <a:prstGeom prst="rect"/>
                    <a:ln/>
                  </pic:spPr>
                </pic:pic>
              </a:graphicData>
            </a:graphic>
          </wp:inline>
        </w:drawing>
      </w:r>
      <w:r w:rsidDel="00000000" w:rsidR="00000000" w:rsidRPr="00000000">
        <w:rPr>
          <w:rtl w:val="0"/>
        </w:rPr>
      </w:r>
    </w:p>
    <w:p w:rsidR="00000000" w:rsidDel="00000000" w:rsidP="00000000" w:rsidRDefault="00000000" w:rsidRPr="00000000" w14:paraId="00000014">
      <w:pPr>
        <w:jc w:val="center"/>
        <w:rPr>
          <w:rFonts w:ascii="Cambria" w:cs="Cambria" w:eastAsia="Cambria" w:hAnsi="Cambria"/>
        </w:rPr>
      </w:pPr>
      <w:r w:rsidDel="00000000" w:rsidR="00000000" w:rsidRPr="00000000">
        <w:rPr>
          <w:rFonts w:ascii="Cambria" w:cs="Cambria" w:eastAsia="Cambria" w:hAnsi="Cambria"/>
          <w:rtl w:val="0"/>
        </w:rPr>
        <w:t xml:space="preserve">Figura 2. Creaciones de cuentas de Twitter relacionadas con las cuentas base.</w:t>
      </w:r>
    </w:p>
    <w:p w:rsidR="00000000" w:rsidDel="00000000" w:rsidP="00000000" w:rsidRDefault="00000000" w:rsidRPr="00000000" w14:paraId="00000015">
      <w:pPr>
        <w:jc w:val="both"/>
        <w:rPr>
          <w:rFonts w:ascii="Cambria" w:cs="Cambria" w:eastAsia="Cambria" w:hAnsi="Cambria"/>
        </w:rPr>
      </w:pPr>
      <w:r w:rsidDel="00000000" w:rsidR="00000000" w:rsidRPr="00000000">
        <w:rPr>
          <w:rFonts w:ascii="Cambria" w:cs="Cambria" w:eastAsia="Cambria" w:hAnsi="Cambria"/>
          <w:rtl w:val="0"/>
        </w:rPr>
        <w:t xml:space="preserve">El 45% de estas nuevas cuentas siguen al mismo tiempo a Kast, Marinovic y Melnick; estos dos últimos, junto a De la Carrera, son quienes sumaron más seguidores durante este período. Los seguidores ultraderechistas de De la Carrera aumentaron un 11.71%; desde el 18 de octubre, los de Errázuriz aumentaron de un 55% a un 625%, y desde el 15 de noviembre, los de Kast aumentaron un 326%.</w:t>
      </w:r>
    </w:p>
    <w:p w:rsidR="00000000" w:rsidDel="00000000" w:rsidP="00000000" w:rsidRDefault="00000000" w:rsidRPr="00000000" w14:paraId="00000016">
      <w:pPr>
        <w:jc w:val="both"/>
        <w:rPr>
          <w:rFonts w:ascii="Cambria" w:cs="Cambria" w:eastAsia="Cambria" w:hAnsi="Cambria"/>
        </w:rPr>
      </w:pPr>
      <w:r w:rsidDel="00000000" w:rsidR="00000000" w:rsidRPr="00000000">
        <w:rPr>
          <w:rFonts w:ascii="Cambria" w:cs="Cambria" w:eastAsia="Cambria" w:hAnsi="Cambria"/>
          <w:rtl w:val="0"/>
        </w:rPr>
        <w:t xml:space="preserve">Pero esta relación no es unidireccional. Los aumentos de amigos ultraderechistas son aún mayores. Melnick y De la Carrera los aumentaron en 15.94% y 13.78%, respectivamente, mostrando una actitud de “reciprocidad de popularidad”, al seguir a varias cuentas que a su vez les siguen. Desde noviembre, Marinovic los aumentó en un 201%, Kast un 938%, y Errázuriz un impresionante 1568%. En total, los cinco seguían 8464 amigos con perfil ultraderechista (1983 creados desde el 18 de octubre, 1516 desde el 15 de noviembre) y eran seguidos por 15,728 cuentas del mismo perfil (4261 creadas desde el 18 de octubre, 3241 desde el 15 de noviembre). Todas estas cuentas comparten un discurso común en favor de la campaña del Rechazo.</w:t>
      </w:r>
    </w:p>
    <w:p w:rsidR="00000000" w:rsidDel="00000000" w:rsidP="00000000" w:rsidRDefault="00000000" w:rsidRPr="00000000" w14:paraId="00000017">
      <w:pPr>
        <w:jc w:val="both"/>
        <w:rPr>
          <w:rFonts w:ascii="Cambria" w:cs="Cambria" w:eastAsia="Cambria" w:hAnsi="Cambria"/>
        </w:rPr>
      </w:pPr>
      <w:r w:rsidDel="00000000" w:rsidR="00000000" w:rsidRPr="00000000">
        <w:rPr>
          <w:rFonts w:ascii="Cambria" w:cs="Cambria" w:eastAsia="Cambria" w:hAnsi="Cambria"/>
          <w:rtl w:val="0"/>
        </w:rPr>
        <w:t xml:space="preserve">Muchas de las nuevas cuentas creadas no tienen imágenes de perfil, un rasgo típico de cuentas bots. Por ejemplo, el 8.91% de seguidores de Errázuriz, que aumenta al 15.26% (un 71%) si consideramos creaciones desde el 18/10/2019. Desde la misma fecha, De la Carrera aumentó sus amigos sin imagen un 105%.</w:t>
      </w:r>
    </w:p>
    <w:p w:rsidR="00000000" w:rsidDel="00000000" w:rsidP="00000000" w:rsidRDefault="00000000" w:rsidRPr="00000000" w14:paraId="00000018">
      <w:pPr>
        <w:jc w:val="both"/>
        <w:rPr>
          <w:rFonts w:ascii="Cambria" w:cs="Cambria" w:eastAsia="Cambria" w:hAnsi="Cambria"/>
          <w:b w:val="1"/>
          <w:i w:val="1"/>
        </w:rPr>
      </w:pPr>
      <w:r w:rsidDel="00000000" w:rsidR="00000000" w:rsidRPr="00000000">
        <w:rPr>
          <w:rFonts w:ascii="Cambria" w:cs="Cambria" w:eastAsia="Cambria" w:hAnsi="Cambria"/>
          <w:b w:val="1"/>
          <w:i w:val="1"/>
          <w:rtl w:val="0"/>
        </w:rPr>
        <w:t xml:space="preserve">Perfiles de acción política</w:t>
      </w:r>
    </w:p>
    <w:p w:rsidR="00000000" w:rsidDel="00000000" w:rsidP="00000000" w:rsidRDefault="00000000" w:rsidRPr="00000000" w14:paraId="00000019">
      <w:pPr>
        <w:jc w:val="both"/>
        <w:rPr>
          <w:rFonts w:ascii="Cambria" w:cs="Cambria" w:eastAsia="Cambria" w:hAnsi="Cambria"/>
        </w:rPr>
      </w:pPr>
      <w:r w:rsidDel="00000000" w:rsidR="00000000" w:rsidRPr="00000000">
        <w:rPr>
          <w:rFonts w:ascii="Cambria" w:cs="Cambria" w:eastAsia="Cambria" w:hAnsi="Cambria"/>
          <w:rtl w:val="0"/>
        </w:rPr>
        <w:t xml:space="preserve">Las cuentas base son muy activas. El menos activo es Kast, contribuyendo solo el 4.9% a la actividad total de los cinco, con 9 acciones diarias promedio (ADP). El 68% de sus tweets son originales, doblando al 32% de Marinovic, cumpliendo un rol de “líder de opinión” entre sus pares, más enfocado en la instalación de discursos que en el debate público.</w:t>
      </w:r>
    </w:p>
    <w:p w:rsidR="00000000" w:rsidDel="00000000" w:rsidP="00000000" w:rsidRDefault="00000000" w:rsidRPr="00000000" w14:paraId="0000001A">
      <w:pPr>
        <w:jc w:val="both"/>
        <w:rPr>
          <w:rFonts w:ascii="Cambria" w:cs="Cambria" w:eastAsia="Cambria" w:hAnsi="Cambria"/>
        </w:rPr>
      </w:pPr>
      <w:r w:rsidDel="00000000" w:rsidR="00000000" w:rsidRPr="00000000">
        <w:rPr>
          <w:rFonts w:ascii="Cambria" w:cs="Cambria" w:eastAsia="Cambria" w:hAnsi="Cambria"/>
          <w:rtl w:val="0"/>
        </w:rPr>
        <w:t xml:space="preserve">Melnick es por lejos el más activo, cubriendo el 69% de la actividad total (131 ADP) y un 80% de retweets. Cumple un rol similar al de los bots, viralizando opiniones en lugar de sostener discursos o debates en la red.</w:t>
      </w:r>
    </w:p>
    <w:p w:rsidR="00000000" w:rsidDel="00000000" w:rsidP="00000000" w:rsidRDefault="00000000" w:rsidRPr="00000000" w14:paraId="0000001B">
      <w:pPr>
        <w:jc w:val="both"/>
        <w:rPr>
          <w:rFonts w:ascii="Cambria" w:cs="Cambria" w:eastAsia="Cambria" w:hAnsi="Cambria"/>
        </w:rPr>
      </w:pPr>
      <w:r w:rsidDel="00000000" w:rsidR="00000000" w:rsidRPr="00000000">
        <w:rPr>
          <w:rFonts w:ascii="Cambria" w:cs="Cambria" w:eastAsia="Cambria" w:hAnsi="Cambria"/>
          <w:rtl w:val="0"/>
        </w:rPr>
        <w:t xml:space="preserve">Marinovic es la segunda menos activa (14 ADP). Aunque en su estrategia comunicacional predomina la viralización de contenido, es más heterogénea, también enfocada en el discurso, sin rechazar opciones de debate.</w:t>
      </w:r>
    </w:p>
    <w:p w:rsidR="00000000" w:rsidDel="00000000" w:rsidP="00000000" w:rsidRDefault="00000000" w:rsidRPr="00000000" w14:paraId="0000001C">
      <w:pPr>
        <w:jc w:val="both"/>
        <w:rPr>
          <w:rFonts w:ascii="Cambria" w:cs="Cambria" w:eastAsia="Cambria" w:hAnsi="Cambria"/>
        </w:rPr>
      </w:pPr>
      <w:r w:rsidDel="00000000" w:rsidR="00000000" w:rsidRPr="00000000">
        <w:rPr>
          <w:rFonts w:ascii="Cambria" w:cs="Cambria" w:eastAsia="Cambria" w:hAnsi="Cambria"/>
          <w:rtl w:val="0"/>
        </w:rPr>
        <w:t xml:space="preserve">El único en que predomina el debate es Errázuriz, con 19 ADP y cubriendo el 49% del total de menciones. De la Carrera (17 ADP) muestra patrones muy similares a los de Melnick.</w:t>
      </w:r>
    </w:p>
    <w:p w:rsidR="00000000" w:rsidDel="00000000" w:rsidP="00000000" w:rsidRDefault="00000000" w:rsidRPr="00000000" w14:paraId="0000001D">
      <w:pPr>
        <w:jc w:val="both"/>
        <w:rPr>
          <w:rFonts w:ascii="Cambria" w:cs="Cambria" w:eastAsia="Cambria" w:hAnsi="Cambria"/>
        </w:rPr>
      </w:pPr>
      <w:r w:rsidDel="00000000" w:rsidR="00000000" w:rsidRPr="00000000">
        <w:rPr>
          <w:rFonts w:ascii="Cambria" w:cs="Cambria" w:eastAsia="Cambria" w:hAnsi="Cambria"/>
          <w:rtl w:val="0"/>
        </w:rPr>
        <w:t xml:space="preserve">Finalmente, un análisis de contenido sobre los tweets emitidos por las cuentas base evidenció el dominio de la palabra “Chile” en todos los casos, usualmente en llamado al “patriotismo”. En lugar de enfocarse en las causas que llevaron al estallido social, el foco está en la “violencia” y en la urgencia e inmediatez del “ahora”. Hay una cruda crítica a la figura del “Estado” y administración del “gobierno” de “Piñera”, sumando una sostenida gratitud a la acción de “carabineros”. La “izquierda” es el enemigo, enfocándose en el “comunismo”, el liderazgo de Camila “Vallejo” y el “Frente Amplio”. La palabra “políticos” suele aparecer con connotaciones negativas, disociadas de quienes las emiten (todas figuras predominantemente políticas, salvo el empresario Errázuriz, quien actúa más como financista de la política). El discurso es claro: defender la “Constitución” de la ultra-”izquierda”, “delincuentes” que han cerrado la salida política mediante la “violencia”. En cuanto a lo no-dicho, destaca un silencio total respecto de las violaciones de los Derechos Humanos ocurridas desde octubre de 2019.</w:t>
      </w:r>
    </w:p>
    <w:p w:rsidR="00000000" w:rsidDel="00000000" w:rsidP="00000000" w:rsidRDefault="00000000" w:rsidRPr="00000000" w14:paraId="0000001E">
      <w:pPr>
        <w:jc w:val="both"/>
        <w:rPr>
          <w:rFonts w:ascii="Cambria" w:cs="Cambria" w:eastAsia="Cambria" w:hAnsi="Cambria"/>
        </w:rPr>
      </w:pPr>
      <w:r w:rsidDel="00000000" w:rsidR="00000000" w:rsidRPr="00000000">
        <w:rPr>
          <w:rFonts w:ascii="Cambria" w:cs="Cambria" w:eastAsia="Cambria" w:hAnsi="Cambria"/>
        </w:rPr>
        <w:drawing>
          <wp:inline distB="114300" distT="114300" distL="114300" distR="114300">
            <wp:extent cx="5612130" cy="5613400"/>
            <wp:effectExtent b="0" l="0" r="0" t="0"/>
            <wp:docPr id="1" name="image3.png"/>
            <a:graphic>
              <a:graphicData uri="http://schemas.openxmlformats.org/drawingml/2006/picture">
                <pic:pic>
                  <pic:nvPicPr>
                    <pic:cNvPr id="0" name="image3.png"/>
                    <pic:cNvPicPr preferRelativeResize="0"/>
                  </pic:nvPicPr>
                  <pic:blipFill>
                    <a:blip r:embed="rId10"/>
                    <a:srcRect b="0" l="0" r="0" t="0"/>
                    <a:stretch>
                      <a:fillRect/>
                    </a:stretch>
                  </pic:blipFill>
                  <pic:spPr>
                    <a:xfrm>
                      <a:off x="0" y="0"/>
                      <a:ext cx="5612130" cy="5613400"/>
                    </a:xfrm>
                    <a:prstGeom prst="rect"/>
                    <a:ln/>
                  </pic:spPr>
                </pic:pic>
              </a:graphicData>
            </a:graphic>
          </wp:inline>
        </w:drawing>
      </w:r>
      <w:r w:rsidDel="00000000" w:rsidR="00000000" w:rsidRPr="00000000">
        <w:rPr>
          <w:rtl w:val="0"/>
        </w:rPr>
      </w:r>
    </w:p>
    <w:p w:rsidR="00000000" w:rsidDel="00000000" w:rsidP="00000000" w:rsidRDefault="00000000" w:rsidRPr="00000000" w14:paraId="0000001F">
      <w:pPr>
        <w:jc w:val="center"/>
        <w:rPr>
          <w:rFonts w:ascii="Cambria" w:cs="Cambria" w:eastAsia="Cambria" w:hAnsi="Cambria"/>
          <w:shd w:fill="6fa8dc" w:val="clear"/>
        </w:rPr>
      </w:pPr>
      <w:r w:rsidDel="00000000" w:rsidR="00000000" w:rsidRPr="00000000">
        <w:rPr>
          <w:rFonts w:ascii="Cambria" w:cs="Cambria" w:eastAsia="Cambria" w:hAnsi="Cambria"/>
          <w:rtl w:val="0"/>
        </w:rPr>
        <w:t xml:space="preserve">Figura 3. Nubes de palabras relacionadas con las cuentas base.</w:t>
      </w:r>
      <w:r w:rsidDel="00000000" w:rsidR="00000000" w:rsidRPr="00000000">
        <w:rPr>
          <w:rtl w:val="0"/>
        </w:rPr>
      </w:r>
    </w:p>
    <w:p w:rsidR="00000000" w:rsidDel="00000000" w:rsidP="00000000" w:rsidRDefault="00000000" w:rsidRPr="00000000" w14:paraId="00000020">
      <w:pPr>
        <w:jc w:val="both"/>
        <w:rPr>
          <w:rFonts w:ascii="Cambria" w:cs="Cambria" w:eastAsia="Cambria" w:hAnsi="Cambria"/>
          <w:b w:val="1"/>
        </w:rPr>
      </w:pPr>
      <w:r w:rsidDel="00000000" w:rsidR="00000000" w:rsidRPr="00000000">
        <w:rPr>
          <w:rFonts w:ascii="Cambria" w:cs="Cambria" w:eastAsia="Cambria" w:hAnsi="Cambria"/>
          <w:b w:val="1"/>
          <w:rtl w:val="0"/>
        </w:rPr>
        <w:t xml:space="preserve">Discusión </w:t>
      </w:r>
    </w:p>
    <w:p w:rsidR="00000000" w:rsidDel="00000000" w:rsidP="00000000" w:rsidRDefault="00000000" w:rsidRPr="00000000" w14:paraId="00000021">
      <w:pPr>
        <w:spacing w:after="240" w:before="240" w:line="240" w:lineRule="auto"/>
        <w:ind w:left="0" w:firstLine="0"/>
        <w:jc w:val="both"/>
        <w:rPr>
          <w:rFonts w:ascii="Cambria" w:cs="Cambria" w:eastAsia="Cambria" w:hAnsi="Cambria"/>
        </w:rPr>
      </w:pPr>
      <w:r w:rsidDel="00000000" w:rsidR="00000000" w:rsidRPr="00000000">
        <w:rPr>
          <w:rFonts w:ascii="Cambria" w:cs="Cambria" w:eastAsia="Cambria" w:hAnsi="Cambria"/>
          <w:rtl w:val="0"/>
        </w:rPr>
        <w:t xml:space="preserve">Considerando que no existen clones sociológicos (Martuccelli 2007; 2020), </w:t>
      </w:r>
      <w:r w:rsidDel="00000000" w:rsidR="00000000" w:rsidRPr="00000000">
        <w:rPr>
          <w:rFonts w:ascii="Cambria" w:cs="Cambria" w:eastAsia="Cambria" w:hAnsi="Cambria"/>
          <w:rtl w:val="0"/>
        </w:rPr>
        <w:t xml:space="preserve">más si</w:t>
      </w:r>
      <w:r w:rsidDel="00000000" w:rsidR="00000000" w:rsidRPr="00000000">
        <w:rPr>
          <w:rFonts w:ascii="Cambria" w:cs="Cambria" w:eastAsia="Cambria" w:hAnsi="Cambria"/>
          <w:rtl w:val="0"/>
        </w:rPr>
        <w:t xml:space="preserve"> distintas formas de interrogar la realidad social, asumimos la complejidad de entregar un perfil homogéneo de un movimiento de ultraderecha, más aún considerando los casos estadounidense, brasileño o italiano.</w:t>
      </w:r>
    </w:p>
    <w:p w:rsidR="00000000" w:rsidDel="00000000" w:rsidP="00000000" w:rsidRDefault="00000000" w:rsidRPr="00000000" w14:paraId="00000022">
      <w:pPr>
        <w:spacing w:after="240" w:before="240" w:line="240" w:lineRule="auto"/>
        <w:ind w:left="0" w:firstLine="0"/>
        <w:jc w:val="both"/>
        <w:rPr>
          <w:rFonts w:ascii="Cambria" w:cs="Cambria" w:eastAsia="Cambria" w:hAnsi="Cambria"/>
        </w:rPr>
      </w:pPr>
      <w:r w:rsidDel="00000000" w:rsidR="00000000" w:rsidRPr="00000000">
        <w:rPr>
          <w:rFonts w:ascii="Cambria" w:cs="Cambria" w:eastAsia="Cambria" w:hAnsi="Cambria"/>
          <w:rtl w:val="0"/>
        </w:rPr>
        <w:t xml:space="preserve">Wendy Brown (2020) asemeja en grupos sociales desplazados un espacio abierto para la politización del cristianismo y el ascenso de políticas antidemocráticas en Occidente. Una revisión hacia la moral para hacer política (Blee y Creasap, 2010; Gross </w:t>
      </w:r>
      <w:r w:rsidDel="00000000" w:rsidR="00000000" w:rsidRPr="00000000">
        <w:rPr>
          <w:rFonts w:ascii="Cambria" w:cs="Cambria" w:eastAsia="Cambria" w:hAnsi="Cambria"/>
          <w:rtl w:val="0"/>
        </w:rPr>
        <w:t xml:space="preserve">et al.</w:t>
      </w:r>
      <w:r w:rsidDel="00000000" w:rsidR="00000000" w:rsidRPr="00000000">
        <w:rPr>
          <w:rFonts w:ascii="Cambria" w:cs="Cambria" w:eastAsia="Cambria" w:hAnsi="Cambria"/>
          <w:rtl w:val="0"/>
        </w:rPr>
        <w:t xml:space="preserve">, 2011; Brown, 2020; Wetzel, 2020) es parte inherente de los repertorios de acción política de estos grupos.</w:t>
      </w:r>
    </w:p>
    <w:p w:rsidR="00000000" w:rsidDel="00000000" w:rsidP="00000000" w:rsidRDefault="00000000" w:rsidRPr="00000000" w14:paraId="00000023">
      <w:pPr>
        <w:spacing w:after="240" w:before="240" w:line="240" w:lineRule="auto"/>
        <w:ind w:left="0" w:firstLine="0"/>
        <w:jc w:val="both"/>
        <w:rPr>
          <w:rFonts w:ascii="Cambria" w:cs="Cambria" w:eastAsia="Cambria" w:hAnsi="Cambria"/>
        </w:rPr>
      </w:pPr>
      <w:r w:rsidDel="00000000" w:rsidR="00000000" w:rsidRPr="00000000">
        <w:rPr>
          <w:rFonts w:ascii="Cambria" w:cs="Cambria" w:eastAsia="Cambria" w:hAnsi="Cambria"/>
          <w:rtl w:val="0"/>
        </w:rPr>
        <w:t xml:space="preserve">Ahora bien, el surgimiento de subculturas y nuevas formas de despliegue no puede ser disociado de las ultraderechas, las cuales han encontrado en las nuevas tecnologías de la información estrategias de automediación (Cammaerts, 2018) y despliegue de sus ideas (Blee y Creasap, 2010). Este fenómeno abarca no solo elementos identitarios; también implica revisiones historiográficas (Yang, 2021) como en Corea del Sur, la politización de memes en Suecia (Askanius, 2021) o la salida de la agenda pública tradicional después de tragedias como Charlottesville para cambiar sus espacios de difusión hacia Internet (Atkinson, 2018).</w:t>
      </w:r>
    </w:p>
    <w:p w:rsidR="00000000" w:rsidDel="00000000" w:rsidP="00000000" w:rsidRDefault="00000000" w:rsidRPr="00000000" w14:paraId="00000024">
      <w:pPr>
        <w:spacing w:after="240" w:before="240" w:line="240" w:lineRule="auto"/>
        <w:ind w:left="0" w:firstLine="0"/>
        <w:jc w:val="both"/>
        <w:rPr>
          <w:rFonts w:ascii="Cambria" w:cs="Cambria" w:eastAsia="Cambria" w:hAnsi="Cambria"/>
        </w:rPr>
      </w:pPr>
      <w:r w:rsidDel="00000000" w:rsidR="00000000" w:rsidRPr="00000000">
        <w:rPr>
          <w:rFonts w:ascii="Cambria" w:cs="Cambria" w:eastAsia="Cambria" w:hAnsi="Cambria"/>
          <w:rtl w:val="0"/>
        </w:rPr>
        <w:t xml:space="preserve">Este fenómeno ha tenido un acompañamiento en la visibilidad algorítmica de los discursos de odio en plataformas digitales (Daniels, 2018), las cuales se constituyen como elementos de patología(s) de reconocimiento cuando se enmarañan con la ultraderecha (Herzog, 2021), motivo por el cual </w:t>
      </w:r>
      <w:r w:rsidDel="00000000" w:rsidR="00000000" w:rsidRPr="00000000">
        <w:rPr>
          <w:rFonts w:ascii="Cambria" w:cs="Cambria" w:eastAsia="Cambria" w:hAnsi="Cambria"/>
          <w:rtl w:val="0"/>
        </w:rPr>
        <w:t xml:space="preserve">ha sido señalado</w:t>
      </w:r>
      <w:r w:rsidDel="00000000" w:rsidR="00000000" w:rsidRPr="00000000">
        <w:rPr>
          <w:rFonts w:ascii="Cambria" w:cs="Cambria" w:eastAsia="Cambria" w:hAnsi="Cambria"/>
          <w:rtl w:val="0"/>
        </w:rPr>
        <w:t xml:space="preserve"> como un paraíso para el populismo (Jacobs y Spiering, 2019; Mudde, 2021; Díez-Gutiérrez et al., 2022). </w:t>
      </w:r>
      <w:r w:rsidDel="00000000" w:rsidR="00000000" w:rsidRPr="00000000">
        <w:rPr>
          <w:rFonts w:ascii="Cambria" w:cs="Cambria" w:eastAsia="Cambria" w:hAnsi="Cambria"/>
          <w:rtl w:val="0"/>
        </w:rPr>
        <w:t xml:space="preserve">Este</w:t>
      </w:r>
      <w:r w:rsidDel="00000000" w:rsidR="00000000" w:rsidRPr="00000000">
        <w:rPr>
          <w:rFonts w:ascii="Cambria" w:cs="Cambria" w:eastAsia="Cambria" w:hAnsi="Cambria"/>
          <w:rtl w:val="0"/>
        </w:rPr>
        <w:t xml:space="preserve"> es un elemento ineludible de los repertorios de acción política de la ultraderecha. Aunque no existe ningún estudio sistemático que explique la forma en que plataformas como Twitter, por ejemplo, faciliten la construcción de un discurso transnacional entre movimientos de ultraderecha (Froio y Ganesh, 2019) podemos destacar y relevar cómo cooptan parte de la discusión pública en redes sociales (Guerrero-Solé et al., 2022) e instalan discursos (Åkerlund, 2020).  Aunque la literatura no enfatiza entre los puntos de encuentro, la construcción de un enemigo interno y externo, la migración, el anticomunismo y la economía dan cuenta de una continuidad, al menos aparente, que merece ser investigada.</w:t>
      </w:r>
    </w:p>
    <w:p w:rsidR="00000000" w:rsidDel="00000000" w:rsidP="00000000" w:rsidRDefault="00000000" w:rsidRPr="00000000" w14:paraId="00000025">
      <w:pPr>
        <w:spacing w:after="240" w:before="240" w:line="240" w:lineRule="auto"/>
        <w:ind w:left="0" w:firstLine="0"/>
        <w:jc w:val="both"/>
        <w:rPr>
          <w:rFonts w:ascii="Cambria" w:cs="Cambria" w:eastAsia="Cambria" w:hAnsi="Cambria"/>
        </w:rPr>
      </w:pPr>
      <w:r w:rsidDel="00000000" w:rsidR="00000000" w:rsidRPr="00000000">
        <w:rPr>
          <w:rFonts w:ascii="Cambria" w:cs="Cambria" w:eastAsia="Cambria" w:hAnsi="Cambria"/>
          <w:rtl w:val="0"/>
        </w:rPr>
        <w:t xml:space="preserve">La islamofobia (Froio y Ganesh, 2019) o el supremacismo blanco (Graham, 2016) se han identificado como espacios de enunciación potenciadores de discursos en redes sociales que generan procesos de politización interesantes, ya que producen sentido y pueden tener efectos en aquello que Foucault (2015) llamó materialidad del discurso. Vemos una actualización en la producción de discursos, puesto que las nuevas tecnologías promueven la emergencia de una nueva actoría, líderes de opinión digitales que pueden ir más allá de la política tradicional y disputar la agenda pública de otra manera, más directa, rápida y emotiva (Rivas-de-Roca et al., 2020; Gil de Zúñiga et al., 2020). Esto emerge como una posibilidad interesante de mediación, la cual es parte de los repertorios de la ultraderecha.</w:t>
      </w:r>
    </w:p>
    <w:p w:rsidR="00000000" w:rsidDel="00000000" w:rsidP="00000000" w:rsidRDefault="00000000" w:rsidRPr="00000000" w14:paraId="00000026">
      <w:pPr>
        <w:spacing w:after="240" w:before="240" w:line="240" w:lineRule="auto"/>
        <w:ind w:left="0" w:firstLine="0"/>
        <w:jc w:val="both"/>
        <w:rPr>
          <w:rFonts w:ascii="Cambria" w:cs="Cambria" w:eastAsia="Cambria" w:hAnsi="Cambria"/>
        </w:rPr>
      </w:pPr>
      <w:r w:rsidDel="00000000" w:rsidR="00000000" w:rsidRPr="00000000">
        <w:rPr>
          <w:rFonts w:ascii="Cambria" w:cs="Cambria" w:eastAsia="Cambria" w:hAnsi="Cambria"/>
          <w:rtl w:val="0"/>
        </w:rPr>
        <w:t xml:space="preserve">Respecto de los espacios de apropiación en Chile, Silva y Pizarro (2020) identifican en Facebook un espacio de enunciación para la producción de discursos. Con el objetivo de caracterizar la multiplicidad de formas de la ultraderecha, Cortés (2022) identificó como un “archipiélago” la pluralidad de estrategias y formas de acción política presentes en los últimos años. Precisamente, una posible contradicción y falta de atención a categorías como “conservadurismo” o procesos de (des)arraigo, emergen como hipótesis para el surgimiento de acciones colectivas como el Movimiento Social Patriota (Pérez de Arce, 2022).</w:t>
      </w:r>
    </w:p>
    <w:p w:rsidR="00000000" w:rsidDel="00000000" w:rsidP="00000000" w:rsidRDefault="00000000" w:rsidRPr="00000000" w14:paraId="00000027">
      <w:pPr>
        <w:spacing w:after="240" w:before="240" w:line="240" w:lineRule="auto"/>
        <w:ind w:left="0" w:firstLine="0"/>
        <w:jc w:val="both"/>
        <w:rPr>
          <w:rFonts w:ascii="Cambria" w:cs="Cambria" w:eastAsia="Cambria" w:hAnsi="Cambria"/>
        </w:rPr>
      </w:pPr>
      <w:r w:rsidDel="00000000" w:rsidR="00000000" w:rsidRPr="00000000">
        <w:rPr>
          <w:rFonts w:ascii="Cambria" w:cs="Cambria" w:eastAsia="Cambria" w:hAnsi="Cambria"/>
          <w:rtl w:val="0"/>
        </w:rPr>
        <w:t xml:space="preserve">Existe un acuerdo tácito en ciertos elementos que caracterizan a los movimientos de ultraderecha identificables desde sus discursos y prácticas. Una producción discursiva y reiterada orientada a moralizar la política con la identificación de enemigos en común desde una agenda cultural, entre los que se destacan las minorías étnicas y raciales, las organizaciones feministas, la disidencia y diversidad sexual, militantes de izquierda (de preferencia comunistas) y el “globalismo”. Un espacio para desplazar los modos de hacer las preguntas políticas (Eribon, 2016) y los modos de gestión del presente, en tanto apropiación(es) para resignificar lo común en clave de gestión individual de problemas sociales.</w:t>
      </w:r>
      <w:r w:rsidDel="00000000" w:rsidR="00000000" w:rsidRPr="00000000">
        <w:rPr>
          <w:rtl w:val="0"/>
        </w:rPr>
      </w:r>
    </w:p>
    <w:p w:rsidR="00000000" w:rsidDel="00000000" w:rsidP="00000000" w:rsidRDefault="00000000" w:rsidRPr="00000000" w14:paraId="00000028">
      <w:pPr>
        <w:jc w:val="both"/>
        <w:rPr>
          <w:rFonts w:ascii="Cambria" w:cs="Cambria" w:eastAsia="Cambria" w:hAnsi="Cambria"/>
        </w:rPr>
      </w:pPr>
      <w:r w:rsidDel="00000000" w:rsidR="00000000" w:rsidRPr="00000000">
        <w:rPr>
          <w:rFonts w:ascii="Cambria" w:cs="Cambria" w:eastAsia="Cambria" w:hAnsi="Cambria"/>
          <w:b w:val="1"/>
          <w:rtl w:val="0"/>
        </w:rPr>
        <w:t xml:space="preserve">Conclusiones</w:t>
      </w:r>
      <w:r w:rsidDel="00000000" w:rsidR="00000000" w:rsidRPr="00000000">
        <w:rPr>
          <w:rFonts w:ascii="Cambria" w:cs="Cambria" w:eastAsia="Cambria" w:hAnsi="Cambria"/>
          <w:rtl w:val="0"/>
        </w:rPr>
        <w:t xml:space="preserve"> </w:t>
      </w:r>
    </w:p>
    <w:p w:rsidR="00000000" w:rsidDel="00000000" w:rsidP="00000000" w:rsidRDefault="00000000" w:rsidRPr="00000000" w14:paraId="00000029">
      <w:pPr>
        <w:jc w:val="both"/>
        <w:rPr>
          <w:rFonts w:ascii="Cambria" w:cs="Cambria" w:eastAsia="Cambria" w:hAnsi="Cambria"/>
        </w:rPr>
      </w:pPr>
      <w:r w:rsidDel="00000000" w:rsidR="00000000" w:rsidRPr="00000000">
        <w:rPr>
          <w:rFonts w:ascii="Cambria" w:cs="Cambria" w:eastAsia="Cambria" w:hAnsi="Cambria"/>
          <w:rtl w:val="0"/>
        </w:rPr>
        <w:t xml:space="preserve">El ensamble de las nuevas tecnologías de la información y de registro multiplican posibilidades de análisis para casos como la ultraderecha chilena. Este estudio nos recuerda que los grupos dejan registro de lo que son, lo que hacen y cómo quieren ser vistos. Estos elementos están a disposición e implican un trabajo sobre sí mismo en tanto potencia política y de (auto)formación; especialmente en contextos como el plebiscito constitucional.</w:t>
      </w:r>
    </w:p>
    <w:p w:rsidR="00000000" w:rsidDel="00000000" w:rsidP="00000000" w:rsidRDefault="00000000" w:rsidRPr="00000000" w14:paraId="0000002A">
      <w:pPr>
        <w:jc w:val="both"/>
        <w:rPr>
          <w:rFonts w:ascii="Cambria" w:cs="Cambria" w:eastAsia="Cambria" w:hAnsi="Cambria"/>
        </w:rPr>
      </w:pPr>
      <w:r w:rsidDel="00000000" w:rsidR="00000000" w:rsidRPr="00000000">
        <w:rPr>
          <w:rFonts w:ascii="Cambria" w:cs="Cambria" w:eastAsia="Cambria" w:hAnsi="Cambria"/>
          <w:rtl w:val="0"/>
        </w:rPr>
        <w:t xml:space="preserve">Aunque, con un matiz importante, lejos del uso público de la razón que acompañaba a la ilustración en Kant (2009), pareciera que la discusión política viene acompañada de la articulación de una racionalidad que se soporta en grandes bases de datos privatizadas, sistemas de recomendación algorítmicos, centros de pensamiento, actorías políticas, medios de comunicación masiva tradicionales y nuevas formas de subjetivación.  Será nuestro deber seguir investigando las discontinuidades, continuidades y puntos de fuga. </w:t>
      </w:r>
      <w:r w:rsidDel="00000000" w:rsidR="00000000" w:rsidRPr="00000000">
        <w:rPr>
          <w:rtl w:val="0"/>
        </w:rPr>
      </w:r>
    </w:p>
    <w:sectPr>
      <w:pgSz w:h="15840" w:w="12240" w:orient="portrait"/>
      <w:pgMar w:bottom="1417" w:top="1417" w:left="1701" w:right="1701"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Calibri"/>
  <w:font w:name="Georgia"/>
  <w:font w:name="Cambria"/>
</w:fonts>
</file>

<file path=word/footnotes.xml><?xml version="1.0" encoding="utf-8"?>
<w:footnot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otnote w:id="0">
    <w:p w:rsidR="00000000" w:rsidDel="00000000" w:rsidP="00000000" w:rsidRDefault="00000000" w:rsidRPr="00000000" w14:paraId="0000002B">
      <w:pPr>
        <w:spacing w:after="0" w:line="240" w:lineRule="auto"/>
        <w:rPr>
          <w:sz w:val="16"/>
          <w:szCs w:val="16"/>
        </w:rPr>
      </w:pPr>
      <w:r w:rsidDel="00000000" w:rsidR="00000000" w:rsidRPr="00000000">
        <w:rPr>
          <w:rStyle w:val="FootnoteReference"/>
          <w:vertAlign w:val="superscript"/>
        </w:rPr>
        <w:footnoteRef/>
      </w:r>
      <w:r w:rsidDel="00000000" w:rsidR="00000000" w:rsidRPr="00000000">
        <w:rPr>
          <w:sz w:val="20"/>
          <w:szCs w:val="20"/>
          <w:rtl w:val="0"/>
        </w:rPr>
        <w:t xml:space="preserve"> F. Riquelme, D. Rivera, &amp; B. Serrano (2022). Analyzing the far-right political action on Twitter: the Chilean constituent process. </w:t>
      </w:r>
      <w:r w:rsidDel="00000000" w:rsidR="00000000" w:rsidRPr="00000000">
        <w:rPr>
          <w:i w:val="1"/>
          <w:sz w:val="20"/>
          <w:szCs w:val="20"/>
          <w:rtl w:val="0"/>
        </w:rPr>
        <w:t xml:space="preserve">Social Network Analysis and Mining</w:t>
      </w:r>
      <w:r w:rsidDel="00000000" w:rsidR="00000000" w:rsidRPr="00000000">
        <w:rPr>
          <w:sz w:val="20"/>
          <w:szCs w:val="20"/>
          <w:rtl w:val="0"/>
        </w:rPr>
        <w:t xml:space="preserve">, 12(161): DOI: </w:t>
      </w:r>
      <w:hyperlink r:id="rId1">
        <w:r w:rsidDel="00000000" w:rsidR="00000000" w:rsidRPr="00000000">
          <w:rPr>
            <w:color w:val="1155cc"/>
            <w:sz w:val="20"/>
            <w:szCs w:val="20"/>
            <w:u w:val="single"/>
            <w:shd w:fill="fcfcfc" w:val="clear"/>
            <w:rtl w:val="0"/>
          </w:rPr>
          <w:t xml:space="preserve">10.1007/s13278-022-00990-w</w:t>
        </w:r>
      </w:hyperlink>
      <w:r w:rsidDel="00000000" w:rsidR="00000000" w:rsidRPr="00000000">
        <w:rPr>
          <w:color w:val="333333"/>
          <w:sz w:val="20"/>
          <w:szCs w:val="20"/>
          <w:shd w:fill="fcfcfc" w:val="clear"/>
          <w:rtl w:val="0"/>
        </w:rPr>
        <w:t xml:space="preserve"> </w:t>
      </w:r>
      <w:r w:rsidDel="00000000" w:rsidR="00000000" w:rsidRPr="00000000">
        <w:rPr>
          <w:rtl w:val="0"/>
        </w:rPr>
      </w:r>
    </w:p>
  </w:footnote>
  <w:footnote w:id="1">
    <w:p w:rsidR="00000000" w:rsidDel="00000000" w:rsidP="00000000" w:rsidRDefault="00000000" w:rsidRPr="00000000" w14:paraId="0000002C">
      <w:pPr>
        <w:spacing w:after="0" w:line="240" w:lineRule="auto"/>
        <w:rPr>
          <w:sz w:val="20"/>
          <w:szCs w:val="20"/>
        </w:rPr>
      </w:pPr>
      <w:r w:rsidDel="00000000" w:rsidR="00000000" w:rsidRPr="00000000">
        <w:rPr>
          <w:rStyle w:val="FootnoteReference"/>
          <w:vertAlign w:val="superscript"/>
        </w:rPr>
        <w:footnoteRef/>
      </w:r>
      <w:r w:rsidDel="00000000" w:rsidR="00000000" w:rsidRPr="00000000">
        <w:rPr>
          <w:sz w:val="20"/>
          <w:szCs w:val="20"/>
          <w:rtl w:val="0"/>
        </w:rPr>
        <w:t xml:space="preserve"> </w:t>
      </w:r>
      <w:hyperlink r:id="rId2">
        <w:r w:rsidDel="00000000" w:rsidR="00000000" w:rsidRPr="00000000">
          <w:rPr>
            <w:color w:val="1155cc"/>
            <w:sz w:val="20"/>
            <w:szCs w:val="20"/>
            <w:u w:val="single"/>
            <w:rtl w:val="0"/>
          </w:rPr>
          <w:t xml:space="preserve">https://twitter.com/joseantoniokast/status/1195379524730531840</w:t>
        </w:r>
      </w:hyperlink>
      <w:r w:rsidDel="00000000" w:rsidR="00000000" w:rsidRPr="00000000">
        <w:rPr>
          <w:rtl w:val="0"/>
        </w:rPr>
      </w:r>
    </w:p>
  </w:footnote>
</w:footnote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Calibri" w:cs="Calibri" w:eastAsia="Calibri" w:hAnsi="Calibri"/>
        <w:sz w:val="22"/>
        <w:szCs w:val="22"/>
        <w:lang w:val="es-MX"/>
      </w:rPr>
    </w:rPrDefault>
    <w:pPrDefault>
      <w:pPr>
        <w:spacing w:after="160" w:line="259"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80" w:lineRule="auto"/>
    </w:pPr>
    <w:rPr>
      <w:b w:val="1"/>
      <w:sz w:val="48"/>
      <w:szCs w:val="48"/>
    </w:rPr>
  </w:style>
  <w:style w:type="paragraph" w:styleId="Heading2">
    <w:name w:val="heading 2"/>
    <w:basedOn w:val="Normal"/>
    <w:next w:val="Normal"/>
    <w:pPr>
      <w:keepNext w:val="1"/>
      <w:keepLines w:val="1"/>
      <w:pageBreakBefore w:val="0"/>
      <w:spacing w:after="80" w:before="360" w:lineRule="auto"/>
    </w:pPr>
    <w:rPr>
      <w:b w:val="1"/>
      <w:sz w:val="36"/>
      <w:szCs w:val="36"/>
    </w:rPr>
  </w:style>
  <w:style w:type="paragraph" w:styleId="Heading3">
    <w:name w:val="heading 3"/>
    <w:basedOn w:val="Normal"/>
    <w:next w:val="Normal"/>
    <w:pPr>
      <w:keepNext w:val="1"/>
      <w:keepLines w:val="1"/>
      <w:pageBreakBefore w:val="0"/>
      <w:spacing w:after="80" w:before="280" w:lineRule="auto"/>
    </w:pPr>
    <w:rPr>
      <w:b w:val="1"/>
      <w:sz w:val="28"/>
      <w:szCs w:val="28"/>
    </w:rPr>
  </w:style>
  <w:style w:type="paragraph" w:styleId="Heading4">
    <w:name w:val="heading 4"/>
    <w:basedOn w:val="Normal"/>
    <w:next w:val="Normal"/>
    <w:pPr>
      <w:keepNext w:val="1"/>
      <w:keepLines w:val="1"/>
      <w:pageBreakBefore w:val="0"/>
      <w:spacing w:after="40" w:before="240" w:lineRule="auto"/>
    </w:pPr>
    <w:rPr>
      <w:b w:val="1"/>
      <w:sz w:val="24"/>
      <w:szCs w:val="24"/>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keepNext w:val="1"/>
      <w:keepLines w:val="1"/>
      <w:pageBreakBefore w:val="0"/>
      <w:spacing w:after="120" w:before="480" w:lineRule="auto"/>
    </w:pPr>
    <w:rPr>
      <w:b w:val="1"/>
      <w:sz w:val="72"/>
      <w:szCs w:val="72"/>
    </w:rPr>
  </w:style>
  <w:style w:type="paragraph" w:styleId="Normal" w:default="1">
    <w:name w:val="Normal"/>
    <w:qFormat w:val="1"/>
  </w:style>
  <w:style w:type="character" w:styleId="Fuentedeprrafopredeter" w:default="1">
    <w:name w:val="Default Paragraph Font"/>
    <w:uiPriority w:val="1"/>
    <w:semiHidden w:val="1"/>
    <w:unhideWhenUsed w:val="1"/>
  </w:style>
  <w:style w:type="table" w:styleId="Tabla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Sinlista" w:default="1">
    <w:name w:val="No List"/>
    <w:uiPriority w:val="99"/>
    <w:semiHidden w:val="1"/>
    <w:unhideWhenUsed w:val="1"/>
  </w:style>
  <w:style w:type="character" w:styleId="Refdecomentario">
    <w:name w:val="annotation reference"/>
    <w:basedOn w:val="Fuentedeprrafopredeter"/>
    <w:uiPriority w:val="99"/>
    <w:semiHidden w:val="1"/>
    <w:unhideWhenUsed w:val="1"/>
    <w:rsid w:val="00FA3EF7"/>
    <w:rPr>
      <w:sz w:val="16"/>
      <w:szCs w:val="16"/>
    </w:rPr>
  </w:style>
  <w:style w:type="paragraph" w:styleId="Textocomentario">
    <w:name w:val="annotation text"/>
    <w:basedOn w:val="Normal"/>
    <w:link w:val="TextocomentarioCar"/>
    <w:uiPriority w:val="99"/>
    <w:unhideWhenUsed w:val="1"/>
    <w:rsid w:val="00FA3EF7"/>
    <w:pPr>
      <w:spacing w:line="240" w:lineRule="auto"/>
    </w:pPr>
    <w:rPr>
      <w:sz w:val="20"/>
      <w:szCs w:val="20"/>
    </w:rPr>
  </w:style>
  <w:style w:type="character" w:styleId="TextocomentarioCar" w:customStyle="1">
    <w:name w:val="Texto comentario Car"/>
    <w:basedOn w:val="Fuentedeprrafopredeter"/>
    <w:link w:val="Textocomentario"/>
    <w:uiPriority w:val="99"/>
    <w:rsid w:val="00FA3EF7"/>
    <w:rPr>
      <w:sz w:val="20"/>
      <w:szCs w:val="20"/>
    </w:rPr>
  </w:style>
  <w:style w:type="paragraph" w:styleId="Asuntodelcomentario">
    <w:name w:val="annotation subject"/>
    <w:basedOn w:val="Textocomentario"/>
    <w:next w:val="Textocomentario"/>
    <w:link w:val="AsuntodelcomentarioCar"/>
    <w:uiPriority w:val="99"/>
    <w:semiHidden w:val="1"/>
    <w:unhideWhenUsed w:val="1"/>
    <w:rsid w:val="00FA3EF7"/>
    <w:rPr>
      <w:b w:val="1"/>
      <w:bCs w:val="1"/>
    </w:rPr>
  </w:style>
  <w:style w:type="character" w:styleId="AsuntodelcomentarioCar" w:customStyle="1">
    <w:name w:val="Asunto del comentario Car"/>
    <w:basedOn w:val="TextocomentarioCar"/>
    <w:link w:val="Asuntodelcomentario"/>
    <w:uiPriority w:val="99"/>
    <w:semiHidden w:val="1"/>
    <w:rsid w:val="00FA3EF7"/>
    <w:rPr>
      <w:b w:val="1"/>
      <w:bCs w:val="1"/>
      <w:sz w:val="20"/>
      <w:szCs w:val="20"/>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footnotes" Target="footnotes.xml"/><Relationship Id="rId10" Type="http://schemas.openxmlformats.org/officeDocument/2006/relationships/image" Target="media/image3.png"/><Relationship Id="rId9" Type="http://schemas.openxmlformats.org/officeDocument/2006/relationships/image" Target="media/image1.png"/><Relationship Id="rId5" Type="http://schemas.openxmlformats.org/officeDocument/2006/relationships/numbering" Target="numbering.xml"/><Relationship Id="rId6" Type="http://schemas.openxmlformats.org/officeDocument/2006/relationships/styles" Target="styles.xml"/><Relationship Id="rId7" Type="http://schemas.openxmlformats.org/officeDocument/2006/relationships/customXml" Target="../customXML/item1.xml"/><Relationship Id="rId8" Type="http://schemas.openxmlformats.org/officeDocument/2006/relationships/image" Target="media/image2.png"/></Relationships>
</file>

<file path=word/_rels/footnotes.xml.rels><?xml version="1.0" encoding="UTF-8" standalone="yes"?><Relationships xmlns="http://schemas.openxmlformats.org/package/2006/relationships"><Relationship Id="rId1" Type="http://schemas.openxmlformats.org/officeDocument/2006/relationships/hyperlink" Target="https://doi.org/10.1007/s13278-022-00990-w" TargetMode="External"/><Relationship Id="rId2" Type="http://schemas.openxmlformats.org/officeDocument/2006/relationships/hyperlink" Target="https://twitter.com/joseantoniokast/status/1195379524730531840" TargetMode="Externa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go:docsCustomData xmlns:go="http://customooxmlschemas.google.com/" roundtripDataSignature="AMtx7mh4YWKzl9bZUUzrWPWz9djR7dXjqQ==">AMUW2mXvbaGNXg3l+hexm6DqTz9YLwrvdgDolsoIoWFYaedXDIOACDSeu7slu8kxVJ3PNXFC//ItjIv3vgXESxX5Ril2eYLgd/NDV+DvOL8AKtMW/+0DYD5SW9gCozMPnR1zxfEPrSJkIHTjs3yGk7Ixt8xyOe9m4mEx4Q9u/BWIAR+6gl+BPdRht7kRKgs7JJjsnhfQtUFQ938T58O8EFvMLuxivMOvUGQFy/OfS13rxVCYLjeavnYbV00wD0sATrAcCkYU6+svfAs5wpIydZwO3QxSL7l0iubzrtGFUD8FgYWcm8IFic0HYx39Wxk9HJN9jwTTn/liKGZ0YOHosQsjqieIeCWwZw==</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2022-10-20T13:21:00Z</dcterms:created>
  <dc:creator>Diego Rivera López</dc:creator>
</cp:coreProperties>
</file>