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Pauta de Evaluación Sumativa  </w:t>
      </w:r>
      <w:r w:rsidDel="00000000" w:rsidR="00000000" w:rsidRPr="00000000">
        <w:rPr>
          <w:rtl w:val="0"/>
        </w:rPr>
      </w:r>
    </w:p>
    <w:tbl>
      <w:tblPr>
        <w:tblStyle w:val="Table1"/>
        <w:tblW w:w="14034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7"/>
        <w:gridCol w:w="4235"/>
        <w:gridCol w:w="993"/>
        <w:gridCol w:w="6669"/>
        <w:tblGridChange w:id="0">
          <w:tblGrid>
            <w:gridCol w:w="2137"/>
            <w:gridCol w:w="4235"/>
            <w:gridCol w:w="993"/>
            <w:gridCol w:w="666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e75b5"/>
                <w:rtl w:val="0"/>
              </w:rPr>
              <w:t xml:space="preserve">Estudiante o Integrantes de un 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spacing w:after="0" w:line="240" w:lineRule="auto"/>
        <w:ind w:right="-708"/>
        <w:jc w:val="both"/>
        <w:rPr>
          <w:rFonts w:ascii="Calibri" w:cs="Calibri" w:eastAsia="Calibri" w:hAnsi="Calibri"/>
          <w:i w:val="1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34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275"/>
        <w:gridCol w:w="993"/>
        <w:gridCol w:w="9639"/>
        <w:tblGridChange w:id="0">
          <w:tblGrid>
            <w:gridCol w:w="2127"/>
            <w:gridCol w:w="1275"/>
            <w:gridCol w:w="993"/>
            <w:gridCol w:w="9639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% Logro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Puntaje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Excelente Dominio (ED)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Dominio esperado para el indicador, se considera como el punto óptimo para cualificar como competente.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Alto dominio (AD)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Dominio Aceptable (DA)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Dominio en Proceso (DP)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Se observan varias dificultades o errores para el dominio del indicador.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Dominio por conseguir (DC)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Se observan un escaso, nulo o incorrecto dominio del indicador.</w:t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spacing w:after="0" w:line="240" w:lineRule="auto"/>
        <w:ind w:left="720" w:right="-708" w:hanging="36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PAUTA DE EVALUACIÓN.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419"/>
          <w:tab w:val="right" w:pos="8838"/>
        </w:tabs>
        <w:spacing w:after="0" w:line="240" w:lineRule="auto"/>
        <w:ind w:left="720" w:right="-708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33.999999999998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2164"/>
        <w:gridCol w:w="2410"/>
        <w:gridCol w:w="2268"/>
        <w:gridCol w:w="2268"/>
        <w:gridCol w:w="2268"/>
        <w:tblGridChange w:id="0">
          <w:tblGrid>
            <w:gridCol w:w="2656"/>
            <w:gridCol w:w="2164"/>
            <w:gridCol w:w="2410"/>
            <w:gridCol w:w="2268"/>
            <w:gridCol w:w="2268"/>
            <w:gridCol w:w="2268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NIVELES Y PORCENTAJE DE LOGRO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80%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DP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DC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Dimensión I: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Políticas de seguridad en desarrollo de código seguro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47" w:hanging="360"/>
              <w:jc w:val="both"/>
              <w:rPr>
                <w:rFonts w:ascii="Calibri" w:cs="Calibri" w:eastAsia="Calibri" w:hAnsi="Calibri"/>
                <w:i w:val="1"/>
                <w:color w:val="2e75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Realiza políticas de seguridad en desarrollo de código seguro y el uso de este, basada en un texto cohesionado que le permita sensibilizar al cliente o usuario respecto del marco de trabajo para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5.6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4.2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correctamente las políticas de seguridad en desarrollo de código seguro y el uso de este, basada en un texto cohesionado que le permita sensibilizar al cliente o usuario respecto del marco de trabajo para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mayoritariamente políticas de seguridad en desarrollo de código seguro y el uso de este, basada en un texto cohesionado que le permita sensibilizar al cliente o usuario respecto del marco de trabajo para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Realiza en mediano alcance políticas de seguridad en desarrollo de código seguro y el uso de este, basada en un texto cohesionado que le permita sensibilizar al cliente o usuario respecto del marco de trabajo para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Realiza vagamente políticas de seguridad en desarrollo de código seguro y el uso de este, basada en un texto cohesionado que le permita sensibilizar al cliente o usuario respecto del marco de trabajo para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 realiza políticas de seguridad en desarrollo de código seguro y el uso de este, basada en un texto cohesionado que le permita sensibilizar al cliente o usuario respecto del marco de trabajo para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47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 capaz de levantar los requerimientos y procesos necesarios desde la organización para el desarrollo de políticas de ciber seguridad.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5.6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4.2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 capaz de levantar completamente los requerimientos y procesos necesarios desde la organización para el desarrollo de políticas de ciber seguridad.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 capaz de levantar mayoritariamente los requerimientos y procesos necesarios desde la organización para el desarrollo de políticas de ciber seguridad.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 capaz de levantar medianamente los requerimientos y procesos necesarios desde la organización para el desarrollo de políticas de ciber seguridad.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 capaz de levantar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vagamente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los requerimientos y procesos necesarios desde la organización para el desarrollo de políticas de ciber seguridad.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 capaz de levantar los requerimientos y procesos necesarios desde la organización para el desarrollo de políticas de ciber seguridad.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47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Reconoce las políticas relacionadas con la ciber seguridad como mecanismo para ser aplicado en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5.6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4.2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completamente las políticas relacionadas con la ciber seguridad como mecanismo para ser aplicado en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Reconoce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mayoritariamente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las políticas relacionadas con la ciber seguridad como mecanismo para ser aplicado en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Reconoce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medianamente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las políticas relacionadas con la ciber seguridad como mecanismo para ser aplicado en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Reconoce vagamente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las políticas relacionadas con la ciber seguridad como mecanismo para ser aplicado en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 Reconoce las políticas relacionadas con la ciber seguridad como mecanismo para ser aplicado en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47" w:hanging="360"/>
              <w:jc w:val="both"/>
              <w:rPr>
                <w:rFonts w:ascii="Calibri" w:cs="Calibri" w:eastAsia="Calibri" w:hAnsi="Calibri"/>
                <w:i w:val="1"/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Reconoce los estándares y buenas prácticas asociadas a ciberseguridad, necesarias para el desarrollo de código seguro.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5.6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4.2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los completamente estándares y buenas prácticas asociadas a ciberseguridad, necesarias para el desarrollo de código seguro.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mayoritariamente los estándares y buenas prácticas asociadas a ciberseguridad, necesarias para el desarrollo de código seguro.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medianamente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 estándares y buenas prácticas asociadas a ciberseguridad, necesarias para el desarrollo de código seguro.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los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vagamente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estándares y buenas prácticas asociadas a ciberseguridad, necesarias para el desarrollo de código seguro.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reconoce los estándares y buenas prácticas asociadas a ciberseguridad, necesarias para el desarrollo de código seguro.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47" w:hanging="360"/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 autocrítico en la revisión del cumplimiento de las normas y buenas prácticas en el ámbito de ciber seguridad.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firstLine="0"/>
              <w:rPr>
                <w:rFonts w:ascii="Calibri" w:cs="Calibri" w:eastAsia="Calibri" w:hAnsi="Calibri"/>
                <w:b w:val="1"/>
                <w:i w:val="1"/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5.6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4.2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 autocrítico en la revisión del cumplimiento de las normas y buenas prácticas en el ámbito de ciber seguridad.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Es autocrítico en la revisión del cumplimiento de las normas y buenas prácticas en el ámbito de ciber seguridad.</w:t>
            </w:r>
          </w:p>
        </w:tc>
      </w:tr>
    </w:tbl>
    <w:p w:rsidR="00000000" w:rsidDel="00000000" w:rsidP="00000000" w:rsidRDefault="00000000" w:rsidRPr="00000000" w14:paraId="0000007D">
      <w:pPr>
        <w:jc w:val="left"/>
        <w:rPr>
          <w:rFonts w:ascii="Calibri" w:cs="Calibri" w:eastAsia="Calibri" w:hAnsi="Calibri"/>
          <w:b w:val="1"/>
          <w:i w:val="1"/>
          <w:color w:val="2e75b5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2240" w:w="15840" w:orient="landscape"/>
      <w:pgMar w:bottom="1608" w:top="1701" w:left="1417" w:right="156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-923253</wp:posOffset>
          </wp:positionV>
          <wp:extent cx="9544368" cy="1781175"/>
          <wp:effectExtent b="0" l="0" r="0" t="0"/>
          <wp:wrapNone/>
          <wp:docPr id="2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69457"/>
                  <a:stretch>
                    <a:fillRect/>
                  </a:stretch>
                </pic:blipFill>
                <pic:spPr>
                  <a:xfrm>
                    <a:off x="0" y="0"/>
                    <a:ext cx="9544368" cy="1781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ind w:right="-425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                                     </w:t>
    </w:r>
    <w:r w:rsidDel="00000000" w:rsidR="00000000" w:rsidRPr="00000000">
      <w:rPr>
        <w:i w:val="1"/>
        <w:color w:val="000000"/>
        <w:sz w:val="20"/>
        <w:szCs w:val="20"/>
        <w:rtl w:val="0"/>
      </w:rPr>
      <w:t xml:space="preserve">Pauta de Evaluación/Retroalimentación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-165994</wp:posOffset>
          </wp:positionH>
          <wp:positionV relativeFrom="paragraph">
            <wp:posOffset>-167077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9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ind w:right="-425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sz w:val="20"/>
        <w:szCs w:val="20"/>
        <w:rtl w:val="0"/>
      </w:rPr>
      <w:t xml:space="preserve">Subdirección de Diseño instruccional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152400</wp:posOffset>
              </wp:positionV>
              <wp:extent cx="8831656" cy="55243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934935" y="3757141"/>
                        <a:ext cx="8822131" cy="45719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152400</wp:posOffset>
              </wp:positionV>
              <wp:extent cx="8831656" cy="55243"/>
              <wp:effectExtent b="0" l="0" r="0" t="0"/>
              <wp:wrapNone/>
              <wp:docPr id="2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31656" cy="552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</w:t>
    </w:r>
    <w:r w:rsidDel="00000000" w:rsidR="00000000" w:rsidRPr="00000000">
      <w:rPr>
        <w:i w:val="1"/>
        <w:color w:val="000000"/>
        <w:rtl w:val="0"/>
      </w:rPr>
      <w:t xml:space="preserve">Pauta de Evaluación/Retroalimentación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-165994</wp:posOffset>
          </wp:positionH>
          <wp:positionV relativeFrom="paragraph">
            <wp:posOffset>-167077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7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190500</wp:posOffset>
              </wp:positionV>
              <wp:extent cx="6172200" cy="2222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190500</wp:posOffset>
              </wp:positionV>
              <wp:extent cx="6172200" cy="22225"/>
              <wp:effectExtent b="0" l="0" r="0" t="0"/>
              <wp:wrapNone/>
              <wp:docPr id="2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i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5B10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 w:val="1"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 w:val="1"/>
    <w:rsid w:val="00F35B1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1"/>
    <w:qFormat w:val="1"/>
    <w:rsid w:val="00F35B10"/>
    <w:pPr>
      <w:spacing w:after="0" w:line="240" w:lineRule="auto"/>
    </w:pPr>
  </w:style>
  <w:style w:type="character" w:styleId="PrrafodelistaCar" w:customStyle="1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71A7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71A7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1B65A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1B65A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1B65A8"/>
    <w:rPr>
      <w:rFonts w:ascii="Arial Narrow" w:hAnsi="Arial Narrow"/>
      <w:b w:val="1"/>
      <w:bCs w:val="1"/>
      <w:sz w:val="20"/>
      <w:szCs w:val="20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7845DE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pnhjMQf+3s2ukT0OTm6cUGlrLA==">AMUW2mUgNEvEEm9KYMWplrDiTixhvhBoenUv+IQNmP4s8tChts2qzbTOWpj6n3f9J2yIVoAabrO8ii3eVgbwGQYvaiF22YOJbGRcax1GjhVk5plL0LVlL+8=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8D542C9-7CF8-4F27-94D0-D5AFA948ABA1}"/>
</file>

<file path=customXML/itemProps3.xml><?xml version="1.0" encoding="utf-8"?>
<ds:datastoreItem xmlns:ds="http://schemas.openxmlformats.org/officeDocument/2006/customXml" ds:itemID="{BCB85458-5532-4E3A-8D62-113FB7AE36B8}"/>
</file>

<file path=customXML/itemProps4.xml><?xml version="1.0" encoding="utf-8"?>
<ds:datastoreItem xmlns:ds="http://schemas.openxmlformats.org/officeDocument/2006/customXml" ds:itemID="{BA02B8A4-10A4-47B7-9F2E-F61792942A0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Jimenez A.</dc:creator>
  <dcterms:created xsi:type="dcterms:W3CDTF">2020-03-30T20:44:00Z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