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(~5,963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lower-left MENU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(cap 40).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the L31-L40 MID-BOSSES (see the mid-boss bullets below). Each L31-40 level carries a midBoss field (twin/bomber/splitter/reaper),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L31-L40 mid-boss + gap: a mid-boss (twin/bomber/splitter/reaper, a different kind than the end boss) spawns at 50% spawn progress. The end boss NEVER co-exists with it - it is held back until the mid-boss DIES plus a 15-30s gap (bossGapTimer), during which a trickle of monsters keeps spawning so the arena is never empty.</w:t>
      </w:r>
    </w:p>
    <w:p>
      <w:pPr>
        <w:pStyle w:val="ListBullet"/>
      </w:pPr>
      <w:r>
        <w:t>THREE-PHASE difficulty curve (difficultyRamp / enemyScale / bossHpScale / bossSpdScale): scaling is gentle through L1-15, ramps moderately L16-24, then spikes sharply L25-40 so the late game depends on meta-progression upgrades.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asserts ~18 balance properties - including the new 'end boss waits 15-30s after the mid-boss dies, with monsters filling the gap'.</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