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(~4,943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lower-left MENU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(cap 40).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extra assistants; purchases persist. LOADOUT screen: F is locked to HEAL, X/C/B/V unlock +1 per 5 levels and are filled from owned skills; the persistent LV/XP bar + gold show upper-right on every menu.</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the L31-L40 MID-BOSSES (see the mid-boss bullets below). Each L31-40 level carries a midBoss field (twin/bomber/splitter/reaper),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L31-L40 mid-boss + gap: a mid-boss (twin/bomber/splitter/reaper, a different kind than the end boss) spawns at 50% spawn progress. The end boss NEVER co-exists with it - it is held back until the mid-boss DIES plus a 15-30s gap (bossGapTimer), during which a trickle of monsters keeps spawning so the arena is never empty.</w:t>
      </w:r>
    </w:p>
    <w:p>
      <w:pPr>
        <w:pStyle w:val="Heading1"/>
      </w:pPr>
      <w:r>
        <w:t>10. Allies - pick 2 of 5</w:t>
      </w:r>
    </w:p>
    <w:p>
      <w:r>
        <w:t>Roster in ASSISTANTS (drone, henchman, nunchaku, bomber, poison); the player OWNS a default drone + any bought in the SHOP, and EQUIPS 0-2 of them on the loadout screen (profile.equippedAssistants; default removable - the old exactly-2 rule is gone). startSelectedRun seeds selectedAssistants from the profile; spawned at run start (spawnSelectedAssistants) and rebuilt each level (refreshAssistants - survivors refilled, dead recreated).</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asserts ~18 balance properties - including the new 'end boss waits 15-30s after the mid-boss dies, with monsters filling the gap'.</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