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81"/>
        <w:gridCol w:w="3652"/>
        <w:gridCol w:w="1547"/>
        <w:gridCol w:w="2195"/>
        <w:gridCol w:w="2195"/>
        <w:gridCol w:w="1866"/>
        <w:gridCol w:w="2856"/>
        <w:gridCol w:w="2856"/>
      </w:tblGrid>
      <w:tr>
        <w:trPr>
          <w:trHeight w:val="623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Modelo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Variable_contextual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Moderador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Efecto_libro0_pp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Efecto_libro1_pp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Diferencia_pp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Efecto_nivel_educ0_pp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Efecto_nivel_educ1_pp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M4_a1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clima_aula_escuela_gmc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M4_b1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clima_aula_escuela_gmc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M4_a2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perp_aprendizaje_voto_esc_gmc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-11.4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M4_b2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perp_aprendizaje_voto_esc_gmc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M4_c1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indice_aula_ind_cwc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-31.3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M4_c2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indice_aula_ind_cwc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M4_d1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aprendizaje_voto_cwc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M4_d2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aprendizaje_voto_cwc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32.7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2026-10-06T00:37:21Z</dcterms:modified>
  <cp:category/>
</cp:coreProperties>
</file>