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81"/>
        <w:gridCol w:w="887"/>
        <w:gridCol w:w="1548"/>
        <w:gridCol w:w="936"/>
        <w:gridCol w:w="2599"/>
        <w:gridCol w:w="2905"/>
        <w:gridCol w:w="1952"/>
        <w:gridCol w:w="3040"/>
        <w:gridCol w:w="2942"/>
        <w:gridCol w:w="3481"/>
      </w:tblGrid>
      <w:tr>
        <w:trPr>
          <w:trHeight w:val="623" w:hRule="auto"/>
          <w:tblHeader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Modelo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indice_aula_ind_cwc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participacion_voto_cwc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asamblea_cwc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clima_aula_escuela_gmc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tasa_voto_escuela_gmc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tasa_asamblea_escuela_gmc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M1_a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M1_b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M3_a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M3_b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M3_c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26.2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2026-10-06T00:42:44Z</dcterms:modified>
  <cp:category/>
</cp:coreProperties>
</file>