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CIVED_1999</w:t>
            </w:r>
          </w:p>
        </w:tc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ICCS_2009</w:t>
            </w:r>
          </w:p>
        </w:tc>
        <w:tc>
          <w:p>
            <w:pPr>
              <w:pStyle w:val="Normal"/>
            </w:pPr>
            <w:r>
              <w:t>PACES_2019</w:t>
            </w:r>
          </w:p>
        </w:tc>
      </w:tr>
      <w:tr>
        <w:tc>
          <w:p>
            <w:pPr>
              <w:pStyle w:val="Normal"/>
            </w:pPr>
            <w:r>
              <w:t>Aprendizaje sobre el voto (tasa escuela)</w:t>
            </w:r>
          </w:p>
        </w:tc>
        <w:tc>
          <w:p>
            <w:pPr>
              <w:pStyle w:val="Normal"/>
            </w:pPr>
            <w:r>
              <w:t>64.9% (61.5%–68.4%)</w:t>
            </w:r>
          </w:p>
        </w:tc>
        <w:tc>
          <w:p>
            <w:pPr>
              <w:pStyle w:val="Normal"/>
            </w:pPr>
            <w:r>
              <w:t>70.4% (67.3%–73.6%)</w:t>
            </w:r>
          </w:p>
        </w:tc>
        <w:tc>
          <w:p>
            <w:pPr>
              <w:pStyle w:val="Normal"/>
            </w:pPr>
            <w:r>
              <w:t>N/D</w:t>
            </w:r>
          </w:p>
        </w:tc>
        <w:tc>
          <w:p>
            <w:pPr>
              <w:pStyle w:val="Normal"/>
            </w:pPr>
            <w:r>
              <w:t>N/D</w:t>
            </w:r>
          </w:p>
        </w:tc>
      </w:tr>
      <w:tr>
        <w:tc>
          <w:p>
            <w:pPr>
              <w:pStyle w:val="Normal"/>
            </w:pPr>
            <w:r>
              <w:t>Participación en votaciones (tasa escuela)</w:t>
            </w:r>
          </w:p>
        </w:tc>
        <w:tc>
          <w:p>
            <w:pPr>
              <w:pStyle w:val="Normal"/>
            </w:pPr>
            <w:r>
              <w:t>N/D</w:t>
            </w:r>
          </w:p>
        </w:tc>
        <w:tc>
          <w:p>
            <w:pPr>
              <w:pStyle w:val="Normal"/>
            </w:pPr>
            <w:r>
              <w:t>68.5% (65.0%–72.1%)</w:t>
            </w:r>
          </w:p>
        </w:tc>
        <w:tc>
          <w:p>
            <w:pPr>
              <w:pStyle w:val="Normal"/>
            </w:pPr>
            <w:r>
              <w:t>69.4% (66.4%–72.4%)</w:t>
            </w:r>
          </w:p>
        </w:tc>
        <w:tc>
          <w:p>
            <w:pPr>
              <w:pStyle w:val="Normal"/>
            </w:pPr>
            <w:r>
              <w:t>59.2% (50.0%–68.3%)</w:t>
            </w:r>
          </w:p>
        </w:tc>
      </w:tr>
      <w:tr>
        <w:tc>
          <w:p>
            <w:pPr>
              <w:pStyle w:val="Normal"/>
            </w:pPr>
            <w:r>
              <w:t>Participación en asambleas (tasa escuela)</w:t>
            </w:r>
          </w:p>
        </w:tc>
        <w:tc>
          <w:p>
            <w:pPr>
              <w:pStyle w:val="Normal"/>
            </w:pPr>
            <w:r>
              <w:t>N/D</w:t>
            </w:r>
          </w:p>
        </w:tc>
        <w:tc>
          <w:p>
            <w:pPr>
              <w:pStyle w:val="Normal"/>
            </w:pPr>
            <w:r>
              <w:t>18.7% (16.7%–20.8%)</w:t>
            </w:r>
          </w:p>
        </w:tc>
        <w:tc>
          <w:p>
            <w:pPr>
              <w:pStyle w:val="Normal"/>
            </w:pPr>
            <w:r>
              <w:t>20.0% (16.3%–23.8%)</w:t>
            </w:r>
          </w:p>
        </w:tc>
        <w:tc>
          <w:p>
            <w:pPr>
              <w:pStyle w:val="Normal"/>
            </w:pPr>
            <w:r>
              <w:t>13.9% (11.0%–16.8%)</w:t>
            </w:r>
          </w:p>
        </w:tc>
      </w:tr>
      <w:tr>
        <w:tc>
          <w:p>
            <w:pPr>
              <w:pStyle w:val="Normal"/>
            </w:pPr>
            <w:r>
              <w:t>Clima de aula (escuela)</w:t>
            </w:r>
          </w:p>
        </w:tc>
        <w:tc>
          <w:p>
            <w:pPr>
              <w:pStyle w:val="Normal"/>
            </w:pPr>
            <w:r>
              <w:t>2.87 (2.82–2.92)</w:t>
            </w:r>
          </w:p>
        </w:tc>
        <w:tc>
          <w:p>
            <w:pPr>
              <w:pStyle w:val="Normal"/>
            </w:pPr>
            <w:r>
              <w:t>2.91 (2.86–2.96)</w:t>
            </w:r>
          </w:p>
        </w:tc>
        <w:tc>
          <w:p>
            <w:pPr>
              <w:pStyle w:val="Normal"/>
            </w:pPr>
            <w:r>
              <w:t>2.93 (2.87–2.98)</w:t>
            </w:r>
          </w:p>
        </w:tc>
        <w:tc>
          <w:p>
            <w:pPr>
              <w:pStyle w:val="Normal"/>
            </w:pPr>
            <w:r>
              <w:t>2.99 (2.86–3.13)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2026-10-14T17:14:51Z</dcterms:modified>
  <cp:category/>
</cp:coreProperties>
</file>