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887"/>
        <w:gridCol w:w="1548"/>
        <w:gridCol w:w="936"/>
        <w:gridCol w:w="2599"/>
        <w:gridCol w:w="2905"/>
        <w:gridCol w:w="1952"/>
        <w:gridCol w:w="3040"/>
        <w:gridCol w:w="2942"/>
        <w:gridCol w:w="3481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tasa_voto_escuela_gmc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tasa_asamblea_escuela_gmc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-17.5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2026-10-14T17:09:15Z</dcterms:modified>
  <cp:category/>
</cp:coreProperties>
</file>