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Modelo con experiencias escolares individuales (M2), por cohorte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948"/>
        <w:gridCol w:w="1531"/>
        <w:gridCol w:w="1531"/>
        <w:gridCol w:w="1531"/>
        <w:gridCol w:w="1531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CIVED 1999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PACES 2019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Libros en el hogar (muchos)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1.59***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[1.31, 1.93]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[1.04, 1.49]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[1.13, 1.57]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[0.97, 2.01]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Educación de los padres (universitaria)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[1.13, 1.58]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[1.15, 1.55]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1.35***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[1.16, 1.58]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[0.94, 1.85]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Sexo (hombre)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[1.26, 1.73]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[0.91, 1.19]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[0.99, 1.31]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[0.64, 1.27]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de aula, individual (cwc)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[1.16, 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1.54***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[1.39, 1.72]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[1.29, 1.59]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1.55***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[1.21, 1.97]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Participación en votaciones, individual (cwc)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[1.15, 1.54]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1.86***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[1.59, 2.18]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[1.12, 2.23]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Participación en asambleas, individual (cwc)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[0.97, 1.39]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[1.15, 1.73]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[0.59, 1.38]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Aprendizaje sobre el voto, individual (cwc)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[3.01, 4.12]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1.66***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[1.42, 1.93]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Intercepto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2.42***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[1.98, 2.96]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[1.25, 1.86]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1.89***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[1.57, 2.27]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3.12***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[2.09, 4.65]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Estadísticos de ajuste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τ₀₀ (M2)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 (M0)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estudiantes (M2)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escuelas (M2)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 marginal (M2)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.05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Nota.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Razones de momios (OR) de modelos logísticos multinivel (estudiantes en escuelas) con intercepto aleatorio y sin ponderadores; la variable dependiente es esperar votar (1 = sí). Entre corchetes, intervalo de confianza de Wald al 95%. Libros en el hogar (muchos = 1), educación de los padres (universitaria = 1) y sexo (hombre = 1) son dicotómicas. cwc = variable centrada en la media de su escuela. τ₀₀ = varianza del intercepto aleatorio; ICC = τ₀₀ / (τ₀₀ + π²/3), calculado con el modelo nulo (M0, todos los casos disponibles); R² marginal según Nakagawa y Schielzeth. M2 excluye los casos con datos perdidos en las experiencias escolares. N/D = variable no disponible en la cohorte.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*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p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&lt; .05. **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p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&lt; .01. ***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p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&lt; .001.</w:t>
      </w:r>
    </w:p>
    <w:sectPr>
      <w:pgMar w:header="709" w:bottom="1417" w:top="1417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2026-10-14T16:51:18Z</dcterms:modified>
  <cp:category/>
</cp:coreProperties>
</file>