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Variables de escuela agregadas a M2 (modelos M3), por cohorte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948"/>
        <w:gridCol w:w="1531"/>
        <w:gridCol w:w="1531"/>
        <w:gridCol w:w="1531"/>
        <w:gridCol w:w="1531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 de la escuela (gmc)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1.68*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[1.07, 2.66]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[1.43, 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[1.71, 3.79]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[2.70, 10.72]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Intensidad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+38.1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Reducción de τ₀₀ (%)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voto de la escuela (gmc, por 10 pp)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[1.15,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[1.15,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[1.01, 1.25]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Intensidad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+18.8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Reducción de τ₀₀ (%)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 de la escuela (gmc, por 10 pp)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[1.05, 1.29]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[0.64, 0.98]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Intensidad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−17.5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Reducción de τ₀₀ (%)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 de la escuela (gmc, por 10 pp)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[1.10, 1.24]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[1.17, 1.34]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Intensidad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Reducción de τ₀₀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Cada variable de escuela se incorpora por separado a M2 (modelos M3). OR con intervalo de confianza de Wald al 95% entre corchetes. Intensidad: diferencia en puntos porcentuales de la probabilidad predicha de esperar votar entre el mínimo y el máximo observados de la variable, con las demás variables en su media y solo efectos fijos. Reducción de τ₀₀ = (τ₀₀ de M2 − τ₀₀ de M3) / τ₀₀ de M2 × 100; un valor negativo indica aumento. gmc = variable centrada en la media general; las tasas y el aprendizaje de la escuela están expresados por cada 10 puntos porcentuales. N/D = variable no disponible en la cohorte.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.05. 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.01. ***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&lt; .001.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2026-10-14T16:51:31Z</dcterms:modified>
  <cp:category/>
</cp:coreProperties>
</file>