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Tabla comparativa — ICCS_2009_Modelo</w:t>
      </w:r>
    </w:p>
    <w:p>
      <w:pPr>
        <w:pStyle w:val="Normal"/>
      </w:pPr>
      <w:r>
        <w:rPr/>
        <w:drawing>
          <wp:inline distT="0" distB="0" distL="0" distR="0">
            <wp:extent cx="6480000" cy="43200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000" cy="432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Relationship Id="rId7" Type="http://schemas.openxmlformats.org/officeDocument/2006/relationships/image" Target="media/22994c506b38b4c9ad84c5eb0ae292f77fdf5664.png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2026-06-19T09:18:45Z</dcterms:modified>
  <cp:category/>
</cp:coreProperties>
</file>