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comparativa — ICCS_2016_Modelo</w:t>
      </w:r>
    </w:p>
    <w:p>
      <w:pPr>
        <w:pStyle w:val="Normal"/>
      </w:pPr>
      <w:r>
        <w:rPr/>
        <w:drawing>
          <wp:inline distT="0" distB="0" distL="0" distR="0">
            <wp:extent cx="6480000" cy="432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7ba5e07521fe335933a33335df26899a1c4c124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2026-06-19T09:19:00Z</dcterms:modified>
  <cp:category/>
</cp:coreProperties>
</file>