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Estadísticos descriptivos, nivel individual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41"/>
        <w:gridCol w:w="1757"/>
        <w:gridCol w:w="1757"/>
        <w:gridCol w:w="1757"/>
        <w:gridCol w:w="1757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estudiantes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5,777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1,635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Perfil sociodemográfico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Mujeres,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46.2% [40.5, 51.9]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50.8% [47.9, 53.7]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50.6% [48.1, 53.2]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51.1% [44.2, 57.9]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 dependiente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Espera votar,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77.9% [76.1, 79.6]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65.6% [63.3, 67.8]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71.0% [69.1, 72.9]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81.5% [77.8, 84.9]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Origen socioeconómico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 en el hogar (categoría alta),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76.7% [73.1, 80.1]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83.5% [81.2, 85.7]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76.2% [73.7, 78.5]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79.4% [74.9, 83.5]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Educación de los padres (universitaria),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25.4% [22.1, 29.0]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32.1% [28.3, 36.0]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43.0% [39.0, 47.1]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45.5% [38.3, 52.9]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Experiencias escolares (versión individual)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aula, M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2.84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 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 (0.71)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 (0.66)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votaciones escolares,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71.1% [68.7, 73.4]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71.5% [69.1, 73.9]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61.9% [55.0, 68.6]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asambleas, % [IC 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17.1% [15.4, 18.8]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17.3% [15.8, 18.8]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15.3% [12.6, 18.3]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voto, % [IC 95%]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66.5% [63.8, 69.1]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71.5% [69.4, 73.5]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Estimaciones ponderadas con el ponderador de estudiantes (Peso_est); los intervalos de confianza (IC) al 95% consideran el diseño muestral (conglomerados por escuela). Los porcentajes se presentan con su IC entre corchetes y las variables continuas como media (desviación estándar, DE). N = casos de la base procesada, sin ponderar. Libros en el hogar y educación de los padres están dicotomizadas (alto y universitaria, respectivamente). N/D = variable no disponible en la cohorte.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2026-10-13T00:01:24Z</dcterms:modified>
  <cp:category/>
</cp:coreProperties>
</file>