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Estadísticos descriptivos, nivel escuela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041"/>
        <w:gridCol w:w="1757"/>
        <w:gridCol w:w="1757"/>
        <w:gridCol w:w="1757"/>
        <w:gridCol w:w="1757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CIVED 1999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PACES 2019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escuelas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de aula, M (DE)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2.87 (0.21)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2.93 (0.28)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2.91 (0.26)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3.01 (0.32)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Participación en votaciones (tasa por escuela, %), M (DE)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69.4 (15.5)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68.5 (18.2)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60.7 (23.8)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Participación en asambleas (tasa por escuela, %), M (DE)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 (16.0)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18.7 (10.7)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15.0 (10.0)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Aprendizaje sobre el voto (% de estudiantes por escuela), M (DE)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64.9 (16.7)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70.4 (16.0)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Nota.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Estimaciones ponderadas con el ponderador de escuela (Peso_esc), sobre una fila por escuela. M = media; DE = desviación estándar. Las tasas son el porcentaje de estudiantes de cada escuela que declara la experiencia. N/D = variable no disponible en la cohorte. Fuente: CIVED 1999, ICCS 2009, ICCS 2016 y PACES 2019.</w:t>
      </w:r>
    </w:p>
    <w:sectPr>
      <w:pgMar w:header="709" w:bottom="1417" w:top="1417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2026-10-13T00:01:28Z</dcterms:modified>
  <cp:category/>
</cp:coreProperties>
</file>