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4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Porcentaje que espera votar según experiencias escolares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041"/>
        <w:gridCol w:w="1757"/>
        <w:gridCol w:w="1757"/>
        <w:gridCol w:w="1757"/>
        <w:gridCol w:w="1757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CIVED 1999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PACES 2019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de aula (individual)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72.7% [70.3, 75.1]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60.5% [58.0, 63.0]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65.7% [63.2, 68.2]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77.8% [72.9, 82.1]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83.1% [81.1, 84.9]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72.0% [69.1, 74.7]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77.8% [75.6, 79.8]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86.0% [81.8, 89.6]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Diferencia, pp (alto − bajo)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+10.3 [+7.7, +13.0]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+11.5 [+8.5, +14.4]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+12.0 [+9.0, +15.0]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+8.2 [+3.5, +12.9]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Participación en votaciones escolares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participó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57.0% [53.6, 60.3]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56.9% [53.6, 60.2]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74.5% [69.5, 79.2]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69.2% [66.9, 71.4]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76.9% [75.0, 78.7]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85.8% [81.9, 89.2]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Diferencia, pp (participó − 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+12.1 [+8.7, +15.6]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+20.0 [+16.3, +23.6]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+11.3 [+6.5, +16.1]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Participación en asambleas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participó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64.4% [62.0, 66.7]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69.1% [66.9, 71.2]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80.9% [76.9, 84.5]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71.7% [67.9, 75.3]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80.5% [77.4, 83.4]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84.1% [76.0, 90.4]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Diferencia, pp (participó − 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+7.4 [+3.8, +10.9]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+11.5 [+8.0, +14.9]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+3.2 [-4.3, +10.7]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Aprendizaje sobre el voto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aprendió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63.6% [60.7, 66.5]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58.0% [54.8, 61.2]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Aprendió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86.2% [84.5, 87.7]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76.2% [74.3, 78.0]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Diferencia, pp (aprendió − no)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+22.5 [+19.6, +25.4]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+18.2 [+14.9, +21.5]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Nota.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Porcentaje de estudiantes que espera votar, con IC 95% entre corchetes. Estimaciones ponderadas (Peso_est) con IC que consideran el diseño muestral (conglomerados por escuela). La diferencia se expresa en puntos porcentuales (pp) con su IC 95%. Clima alto/bajo: división en la mediana ponderada del índice de clima de aula dentro de cada cohorte (puntos de corte en la Tabla A2). N/D = variable no disponible en la cohorte. Fuente: CIVED 1999, ICCS 2009, ICCS 2016 y PACES 2019.</w:t>
      </w:r>
    </w:p>
    <w:sectPr>
      <w:pgMar w:header="709" w:bottom="1417" w:top="1417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2026-10-13T00:01:41Z</dcterms:modified>
  <cp:category/>
</cp:coreProperties>
</file>