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Tabla A1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4"/>
          <w:szCs w:val="24"/>
          <w:color w:val="000000"/>
        </w:rPr>
        <w:t xml:space="preserve">Correlaciones entre las variables de escuela, por cohorte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268"/>
        <w:gridCol w:w="1701"/>
        <w:gridCol w:w="1701"/>
        <w:gridCol w:w="1701"/>
        <w:gridCol w:w="1701"/>
      </w:tblGrid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Clima de aula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Tasa de votaciones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Tasa de asambleas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Aprendizaje sobre el voto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CIVED 1999 (180 escuelas)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Clima de aula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Tasa de votaciones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Tasa de asambleas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Aprendizaje sobre el voto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ICCS 2009 (177 escuelas)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Clima de aula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Tasa de votaciones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Tasa de asambleas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Aprendizaje sobre el voto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ICCS 2016 (178 escuelas)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Clima de aula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Tasa de votaciones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Tasa de asambleas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Aprendizaje sobre el voto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PACES 2019 (64 escuelas)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Clima de aula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Tasa de votaciones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Tasa de asambleas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0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Aprendizaje sobre el voto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N/D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0"/>
          <w:szCs w:val="20"/>
          <w:color w:val="000000"/>
        </w:rPr>
        <w:t xml:space="preserve">Nota.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Correlaciones de Pearson ponderadas con el ponderador de escuela (Peso_esc), sobre una fila por escuela. N/D = variable no disponible en la cohorte. Fuente: CIVED 1999, ICCS 2009, ICCS 2016 y PACES 2019.</w:t>
      </w:r>
    </w:p>
    <w:sectPr>
      <w:pgMar w:header="709" w:bottom="1417" w:top="1417" w:right="1417" w:left="1417" w:footer="709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2026-10-13T00:01:46Z</dcterms:modified>
  <cp:category/>
</cp:coreProperties>
</file>